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BD2" w:rsidRDefault="00201F6E">
      <w:pPr>
        <w:spacing w:before="79"/>
        <w:ind w:left="3066"/>
        <w:rPr>
          <w:b/>
          <w:sz w:val="28"/>
        </w:rPr>
      </w:pPr>
      <w:bookmarkStart w:id="0" w:name="_GoBack"/>
      <w:bookmarkEnd w:id="0"/>
      <w:r>
        <w:rPr>
          <w:b/>
          <w:sz w:val="28"/>
          <w:u w:val="thick"/>
        </w:rPr>
        <w:t>Phoebe Putney Health System, Inc.</w:t>
      </w:r>
    </w:p>
    <w:p w:rsidR="00CF1BD2" w:rsidRDefault="00CF1BD2">
      <w:pPr>
        <w:pStyle w:val="BodyText"/>
        <w:spacing w:before="11"/>
        <w:rPr>
          <w:b/>
          <w:sz w:val="15"/>
        </w:rPr>
      </w:pPr>
    </w:p>
    <w:p w:rsidR="00CF1BD2" w:rsidRDefault="00201F6E">
      <w:pPr>
        <w:pStyle w:val="Heading1"/>
        <w:tabs>
          <w:tab w:val="left" w:pos="7499"/>
        </w:tabs>
        <w:spacing w:before="92"/>
        <w:ind w:right="551"/>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508635</wp:posOffset>
                </wp:positionV>
                <wp:extent cx="5787390" cy="0"/>
                <wp:effectExtent l="22860" t="28575" r="28575" b="2857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88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00AC"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40.05pt" to="52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" strokeweight="3.06pt">
                <w10:wrap type="topAndBottom" anchorx="page"/>
              </v:line>
            </w:pict>
          </mc:Fallback>
        </mc:AlternateContent>
      </w:r>
      <w:r>
        <w:t>INSTITUTIONAL REVIEW BOARD (IRB) ALLEGATIONS OF NON-COMPLIANCE, CONCERNS OR COMPLAINTS</w:t>
      </w:r>
      <w:r>
        <w:tab/>
        <w:t>POLICY NO.:</w:t>
      </w:r>
      <w:r>
        <w:rPr>
          <w:spacing w:val="-11"/>
        </w:rPr>
        <w:t xml:space="preserve"> </w:t>
      </w:r>
      <w:r>
        <w:t>PPMH</w:t>
      </w:r>
    </w:p>
    <w:p w:rsidR="00CF1BD2" w:rsidRDefault="00201F6E">
      <w:pPr>
        <w:tabs>
          <w:tab w:val="left" w:pos="6781"/>
        </w:tabs>
        <w:spacing w:before="57" w:line="275" w:lineRule="exact"/>
        <w:ind w:left="300"/>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CF1BD2" w:rsidRDefault="00201F6E">
      <w:pPr>
        <w:tabs>
          <w:tab w:val="left" w:pos="6779"/>
        </w:tabs>
        <w:spacing w:line="275" w:lineRule="exact"/>
        <w:ind w:left="300"/>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CF1BD2" w:rsidRDefault="00201F6E">
      <w:pPr>
        <w:tabs>
          <w:tab w:val="left" w:pos="6779"/>
        </w:tabs>
        <w:spacing w:before="1"/>
        <w:ind w:left="6780" w:right="756" w:hanging="6480"/>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10"/>
          <w:sz w:val="24"/>
        </w:rPr>
        <w:t xml:space="preserve"> </w:t>
      </w:r>
      <w:r>
        <w:rPr>
          <w:sz w:val="24"/>
        </w:rPr>
        <w:t>Date:</w:t>
      </w:r>
      <w:r>
        <w:rPr>
          <w:spacing w:val="-9"/>
          <w:sz w:val="24"/>
        </w:rPr>
        <w:t xml:space="preserve"> </w:t>
      </w:r>
      <w:r>
        <w:rPr>
          <w:sz w:val="24"/>
        </w:rPr>
        <w:t>01/25/2017</w:t>
      </w:r>
      <w:r>
        <w:rPr>
          <w:spacing w:val="-1"/>
          <w:w w:val="99"/>
          <w:sz w:val="24"/>
        </w:rPr>
        <w:t xml:space="preserve"> </w:t>
      </w:r>
      <w:r>
        <w:rPr>
          <w:sz w:val="24"/>
        </w:rPr>
        <w:t>Effective Date:</w:t>
      </w:r>
      <w:r>
        <w:rPr>
          <w:spacing w:val="-23"/>
          <w:sz w:val="24"/>
        </w:rPr>
        <w:t xml:space="preserve"> </w:t>
      </w:r>
      <w:r>
        <w:rPr>
          <w:sz w:val="24"/>
        </w:rPr>
        <w:t>01/25/2017</w:t>
      </w:r>
    </w:p>
    <w:p w:rsidR="00CF1BD2" w:rsidRDefault="00201F6E">
      <w:pPr>
        <w:pStyle w:val="BodyText"/>
        <w:spacing w:before="11"/>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227330</wp:posOffset>
                </wp:positionV>
                <wp:extent cx="5787390" cy="0"/>
                <wp:effectExtent l="22860" t="24765" r="28575" b="2286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403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DAA9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pt" to="5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g7HgIAAEI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" strokeweight="3.18pt">
                <w10:wrap type="topAndBottom" anchorx="page"/>
              </v:line>
            </w:pict>
          </mc:Fallback>
        </mc:AlternateContent>
      </w:r>
    </w:p>
    <w:p w:rsidR="00CF1BD2" w:rsidRDefault="00CF1BD2">
      <w:pPr>
        <w:pStyle w:val="BodyText"/>
        <w:spacing w:before="5"/>
        <w:rPr>
          <w:sz w:val="35"/>
        </w:rPr>
      </w:pPr>
    </w:p>
    <w:p w:rsidR="00CF1BD2" w:rsidRDefault="00201F6E">
      <w:pPr>
        <w:pStyle w:val="BodyText"/>
        <w:ind w:left="300"/>
      </w:pPr>
      <w:r>
        <w:rPr>
          <w:b/>
          <w:u w:val="single"/>
        </w:rPr>
        <w:t>SCOPE</w:t>
      </w:r>
      <w:r>
        <w:rPr>
          <w:b/>
        </w:rPr>
        <w:t xml:space="preserve">: </w:t>
      </w:r>
      <w:r>
        <w:t>The IRB Allegations of Non-Compliance, Concerns or Complaints policy applies to all research involving human subjects, including behavioral, biomedical, and social sciences.</w:t>
      </w:r>
    </w:p>
    <w:p w:rsidR="00CF1BD2" w:rsidRDefault="00CF1BD2">
      <w:pPr>
        <w:pStyle w:val="BodyText"/>
        <w:rPr>
          <w:sz w:val="26"/>
        </w:rPr>
      </w:pPr>
    </w:p>
    <w:p w:rsidR="00CF1BD2" w:rsidRDefault="00CF1BD2">
      <w:pPr>
        <w:pStyle w:val="BodyText"/>
        <w:rPr>
          <w:sz w:val="22"/>
        </w:rPr>
      </w:pPr>
    </w:p>
    <w:p w:rsidR="00CF1BD2" w:rsidRDefault="00201F6E">
      <w:pPr>
        <w:pStyle w:val="BodyText"/>
        <w:ind w:left="300" w:right="216"/>
        <w:jc w:val="both"/>
      </w:pPr>
      <w:r>
        <w:rPr>
          <w:b/>
          <w:u w:val="single"/>
        </w:rPr>
        <w:t>PURPOSE:</w:t>
      </w:r>
      <w:r>
        <w:rPr>
          <w:b/>
        </w:rPr>
        <w:t xml:space="preserve"> </w:t>
      </w:r>
      <w:r>
        <w:t>T</w:t>
      </w:r>
      <w:r>
        <w:t>o provide a mechanism for anyone inside or outside Phoebe Putney Memorial Hospital (PPMH) to report any serious or continuing noncompliance with applicable regulatory requirements or with the determinations of the PPMH Institutional Review Board (IRB) and/</w:t>
      </w:r>
      <w:r>
        <w:t>or to report any concerns with research involving risks to human subjects or others.</w:t>
      </w:r>
    </w:p>
    <w:p w:rsidR="00CF1BD2" w:rsidRDefault="00CF1BD2">
      <w:pPr>
        <w:pStyle w:val="BodyText"/>
        <w:spacing w:before="1"/>
      </w:pPr>
    </w:p>
    <w:p w:rsidR="00CF1BD2" w:rsidRDefault="00201F6E">
      <w:pPr>
        <w:pStyle w:val="BodyText"/>
        <w:ind w:left="300"/>
      </w:pPr>
      <w:r>
        <w:t>This policy does not apply to reporting of adverse events, protocol deviations or unanticipated problems involving risks to subjects or others.</w:t>
      </w:r>
    </w:p>
    <w:p w:rsidR="00CF1BD2" w:rsidRDefault="00CF1BD2">
      <w:pPr>
        <w:pStyle w:val="BodyText"/>
        <w:rPr>
          <w:sz w:val="26"/>
        </w:rPr>
      </w:pPr>
    </w:p>
    <w:p w:rsidR="00CF1BD2" w:rsidRDefault="00CF1BD2">
      <w:pPr>
        <w:pStyle w:val="BodyText"/>
        <w:rPr>
          <w:sz w:val="22"/>
        </w:rPr>
      </w:pPr>
    </w:p>
    <w:p w:rsidR="00CF1BD2" w:rsidRDefault="00201F6E">
      <w:pPr>
        <w:pStyle w:val="Heading1"/>
        <w:jc w:val="both"/>
      </w:pPr>
      <w:r>
        <w:rPr>
          <w:u w:val="single"/>
        </w:rPr>
        <w:t>DEFINITIONS: N/A</w:t>
      </w:r>
    </w:p>
    <w:p w:rsidR="00CF1BD2" w:rsidRDefault="00CF1BD2">
      <w:pPr>
        <w:pStyle w:val="BodyText"/>
        <w:rPr>
          <w:b/>
          <w:sz w:val="20"/>
        </w:rPr>
      </w:pPr>
    </w:p>
    <w:p w:rsidR="00CF1BD2" w:rsidRDefault="00CF1BD2">
      <w:pPr>
        <w:pStyle w:val="BodyText"/>
        <w:spacing w:before="10"/>
        <w:rPr>
          <w:b/>
          <w:sz w:val="19"/>
        </w:rPr>
      </w:pPr>
    </w:p>
    <w:p w:rsidR="00CF1BD2" w:rsidRDefault="00201F6E">
      <w:pPr>
        <w:spacing w:before="93"/>
        <w:ind w:left="300"/>
        <w:rPr>
          <w:b/>
          <w:sz w:val="24"/>
        </w:rPr>
      </w:pPr>
      <w:r>
        <w:rPr>
          <w:b/>
          <w:sz w:val="24"/>
          <w:u w:val="single"/>
        </w:rPr>
        <w:t>POLICY:</w:t>
      </w:r>
    </w:p>
    <w:p w:rsidR="00CF1BD2" w:rsidRDefault="00CF1BD2">
      <w:pPr>
        <w:pStyle w:val="BodyText"/>
        <w:spacing w:before="10"/>
        <w:rPr>
          <w:b/>
          <w:sz w:val="15"/>
        </w:rPr>
      </w:pPr>
    </w:p>
    <w:p w:rsidR="00CF1BD2" w:rsidRDefault="00201F6E">
      <w:pPr>
        <w:pStyle w:val="ListParagraph"/>
        <w:numPr>
          <w:ilvl w:val="0"/>
          <w:numId w:val="2"/>
        </w:numPr>
        <w:tabs>
          <w:tab w:val="left" w:pos="660"/>
        </w:tabs>
        <w:spacing w:before="93"/>
        <w:ind w:right="248"/>
        <w:rPr>
          <w:sz w:val="24"/>
        </w:rPr>
      </w:pPr>
      <w:r>
        <w:rPr>
          <w:sz w:val="24"/>
        </w:rPr>
        <w:t>It is the policy of this institution to provide the highest level of protection to its human subject research participants. Reports of noncompliance will be directed to the IRB for investigation and corrective action. Federal regulations 21 CFR 56</w:t>
      </w:r>
      <w:r>
        <w:rPr>
          <w:sz w:val="24"/>
        </w:rPr>
        <w:t>.113 and 45 CFR 46.113 provide the IRB with the authority to suspend or terminate approval of research that is not conducted in accordance with IRB requirements, or</w:t>
      </w:r>
      <w:r>
        <w:rPr>
          <w:spacing w:val="-5"/>
          <w:sz w:val="24"/>
        </w:rPr>
        <w:t xml:space="preserve"> </w:t>
      </w:r>
      <w:r>
        <w:rPr>
          <w:sz w:val="24"/>
        </w:rPr>
        <w:t>wherever</w:t>
      </w:r>
      <w:r>
        <w:rPr>
          <w:spacing w:val="-4"/>
          <w:sz w:val="24"/>
        </w:rPr>
        <w:t xml:space="preserve"> </w:t>
      </w:r>
      <w:r>
        <w:rPr>
          <w:sz w:val="24"/>
        </w:rPr>
        <w:t>there</w:t>
      </w:r>
      <w:r>
        <w:rPr>
          <w:spacing w:val="-5"/>
          <w:sz w:val="24"/>
        </w:rPr>
        <w:t xml:space="preserve"> </w:t>
      </w:r>
      <w:r>
        <w:rPr>
          <w:sz w:val="24"/>
        </w:rPr>
        <w:t>is</w:t>
      </w:r>
      <w:r>
        <w:rPr>
          <w:spacing w:val="-4"/>
          <w:sz w:val="24"/>
        </w:rPr>
        <w:t xml:space="preserve"> </w:t>
      </w:r>
      <w:r>
        <w:rPr>
          <w:sz w:val="24"/>
        </w:rPr>
        <w:t>evidence</w:t>
      </w:r>
      <w:r>
        <w:rPr>
          <w:spacing w:val="-5"/>
          <w:sz w:val="24"/>
        </w:rPr>
        <w:t xml:space="preserve"> </w:t>
      </w:r>
      <w:r>
        <w:rPr>
          <w:sz w:val="24"/>
        </w:rPr>
        <w:t>of</w:t>
      </w:r>
      <w:r>
        <w:rPr>
          <w:spacing w:val="-4"/>
          <w:sz w:val="24"/>
        </w:rPr>
        <w:t xml:space="preserve"> </w:t>
      </w:r>
      <w:r>
        <w:rPr>
          <w:sz w:val="24"/>
        </w:rPr>
        <w:t>serious</w:t>
      </w:r>
      <w:r>
        <w:rPr>
          <w:spacing w:val="-5"/>
          <w:sz w:val="24"/>
        </w:rPr>
        <w:t xml:space="preserve"> </w:t>
      </w:r>
      <w:r>
        <w:rPr>
          <w:sz w:val="24"/>
        </w:rPr>
        <w:t>or</w:t>
      </w:r>
      <w:r>
        <w:rPr>
          <w:spacing w:val="-5"/>
          <w:sz w:val="24"/>
        </w:rPr>
        <w:t xml:space="preserve"> </w:t>
      </w:r>
      <w:r>
        <w:rPr>
          <w:sz w:val="24"/>
        </w:rPr>
        <w:t>continuing</w:t>
      </w:r>
      <w:r>
        <w:rPr>
          <w:spacing w:val="-4"/>
          <w:sz w:val="24"/>
        </w:rPr>
        <w:t xml:space="preserve"> </w:t>
      </w:r>
      <w:r>
        <w:rPr>
          <w:sz w:val="24"/>
        </w:rPr>
        <w:t>noncompliance</w:t>
      </w:r>
      <w:r>
        <w:rPr>
          <w:spacing w:val="-5"/>
          <w:sz w:val="24"/>
        </w:rPr>
        <w:t xml:space="preserve"> </w:t>
      </w:r>
      <w:r>
        <w:rPr>
          <w:sz w:val="24"/>
        </w:rPr>
        <w:t>with</w:t>
      </w:r>
      <w:r>
        <w:rPr>
          <w:spacing w:val="-4"/>
          <w:sz w:val="24"/>
        </w:rPr>
        <w:t xml:space="preserve"> </w:t>
      </w:r>
      <w:r>
        <w:rPr>
          <w:sz w:val="24"/>
        </w:rPr>
        <w:t>FDA</w:t>
      </w:r>
      <w:r>
        <w:rPr>
          <w:spacing w:val="-5"/>
          <w:sz w:val="24"/>
        </w:rPr>
        <w:t xml:space="preserve"> </w:t>
      </w:r>
      <w:r>
        <w:rPr>
          <w:sz w:val="24"/>
        </w:rPr>
        <w:t>and</w:t>
      </w:r>
      <w:r>
        <w:rPr>
          <w:spacing w:val="-4"/>
          <w:sz w:val="24"/>
        </w:rPr>
        <w:t xml:space="preserve"> </w:t>
      </w:r>
      <w:r>
        <w:rPr>
          <w:sz w:val="24"/>
        </w:rPr>
        <w:t>DHHS</w:t>
      </w:r>
      <w:r>
        <w:rPr>
          <w:spacing w:val="-5"/>
          <w:sz w:val="24"/>
        </w:rPr>
        <w:t xml:space="preserve"> </w:t>
      </w:r>
      <w:r>
        <w:rPr>
          <w:sz w:val="24"/>
        </w:rPr>
        <w:t>regulat</w:t>
      </w:r>
      <w:r>
        <w:rPr>
          <w:sz w:val="24"/>
        </w:rPr>
        <w:t>ions.</w:t>
      </w:r>
    </w:p>
    <w:p w:rsidR="00CF1BD2" w:rsidRDefault="00201F6E">
      <w:pPr>
        <w:pStyle w:val="ListParagraph"/>
        <w:numPr>
          <w:ilvl w:val="1"/>
          <w:numId w:val="2"/>
        </w:numPr>
        <w:tabs>
          <w:tab w:val="left" w:pos="1380"/>
        </w:tabs>
        <w:ind w:right="259"/>
        <w:rPr>
          <w:sz w:val="24"/>
        </w:rPr>
      </w:pPr>
      <w:r>
        <w:rPr>
          <w:sz w:val="24"/>
        </w:rPr>
        <w:t>Where the IRB Chair determines that such action is necessary to protect the rights and welfare of subjects the Chair may require an immediate, temporary suspension of enrollment of new subjects or of continued participation of previously enrolled sub</w:t>
      </w:r>
      <w:r>
        <w:rPr>
          <w:sz w:val="24"/>
        </w:rPr>
        <w:t>jects, pending investigation and review of the situation by the convened</w:t>
      </w:r>
      <w:r>
        <w:rPr>
          <w:spacing w:val="-3"/>
          <w:sz w:val="24"/>
        </w:rPr>
        <w:t xml:space="preserve"> </w:t>
      </w:r>
      <w:r>
        <w:rPr>
          <w:sz w:val="24"/>
        </w:rPr>
        <w:t>IRB.</w:t>
      </w:r>
    </w:p>
    <w:p w:rsidR="00CF1BD2" w:rsidRDefault="00201F6E">
      <w:pPr>
        <w:pStyle w:val="ListParagraph"/>
        <w:numPr>
          <w:ilvl w:val="1"/>
          <w:numId w:val="2"/>
        </w:numPr>
        <w:tabs>
          <w:tab w:val="left" w:pos="1380"/>
        </w:tabs>
        <w:ind w:right="271"/>
        <w:rPr>
          <w:sz w:val="24"/>
        </w:rPr>
      </w:pPr>
      <w:r>
        <w:rPr>
          <w:sz w:val="24"/>
        </w:rPr>
        <w:lastRenderedPageBreak/>
        <w:t>After review and deliberation, the IRB may vote to suspend or terminate approval of the research. The principal investigator will be notified of such actions in writing, which wi</w:t>
      </w:r>
      <w:r>
        <w:rPr>
          <w:sz w:val="24"/>
        </w:rPr>
        <w:t>ll include a statement of the reasons for the suspension or termination of approval. The investigator will be provided with an opportunity to</w:t>
      </w:r>
      <w:r>
        <w:rPr>
          <w:spacing w:val="-3"/>
          <w:sz w:val="24"/>
        </w:rPr>
        <w:t xml:space="preserve"> </w:t>
      </w:r>
      <w:r>
        <w:rPr>
          <w:sz w:val="24"/>
        </w:rPr>
        <w:t>respond.</w:t>
      </w:r>
    </w:p>
    <w:p w:rsidR="00CF1BD2" w:rsidRDefault="00CF1BD2">
      <w:pPr>
        <w:pStyle w:val="BodyText"/>
      </w:pPr>
    </w:p>
    <w:p w:rsidR="00CF1BD2" w:rsidRDefault="00201F6E">
      <w:pPr>
        <w:pStyle w:val="ListParagraph"/>
        <w:numPr>
          <w:ilvl w:val="0"/>
          <w:numId w:val="2"/>
        </w:numPr>
        <w:tabs>
          <w:tab w:val="left" w:pos="660"/>
        </w:tabs>
        <w:ind w:right="619"/>
        <w:rPr>
          <w:sz w:val="24"/>
        </w:rPr>
      </w:pPr>
      <w:r>
        <w:rPr>
          <w:sz w:val="24"/>
        </w:rPr>
        <w:t>All investigators conducting research at PPMH or as employees or agents of PPMH are required to notify t</w:t>
      </w:r>
      <w:r>
        <w:rPr>
          <w:sz w:val="24"/>
        </w:rPr>
        <w:t>he IRB promptly of any serious or continuing noncompliance with applicable</w:t>
      </w:r>
      <w:r>
        <w:rPr>
          <w:spacing w:val="-28"/>
          <w:sz w:val="24"/>
        </w:rPr>
        <w:t xml:space="preserve"> </w:t>
      </w:r>
      <w:r>
        <w:rPr>
          <w:sz w:val="24"/>
        </w:rPr>
        <w:t>regulatory</w:t>
      </w:r>
    </w:p>
    <w:p w:rsidR="00CF1BD2" w:rsidRDefault="00CF1BD2">
      <w:pPr>
        <w:rPr>
          <w:sz w:val="24"/>
        </w:rPr>
        <w:sectPr w:rsidR="00CF1BD2">
          <w:footerReference w:type="default" r:id="rId7"/>
          <w:type w:val="continuous"/>
          <w:pgSz w:w="12240" w:h="15840"/>
          <w:pgMar w:top="1360" w:right="1220" w:bottom="1520" w:left="1140" w:header="720" w:footer="1338" w:gutter="0"/>
          <w:pgNumType w:start="1"/>
          <w:cols w:space="720"/>
        </w:sectPr>
      </w:pPr>
    </w:p>
    <w:p w:rsidR="00CF1BD2" w:rsidRDefault="00201F6E">
      <w:pPr>
        <w:pStyle w:val="BodyText"/>
        <w:spacing w:before="79"/>
        <w:ind w:left="660" w:right="93"/>
      </w:pPr>
      <w:r>
        <w:lastRenderedPageBreak/>
        <w:t>requirements or with the determinations of the IRB. In addition, all non-investigator em</w:t>
      </w:r>
      <w:r>
        <w:t>ployees and agents of PPMH are required to notify the IRB promptly if they become aware of any serious or continuing noncompliance.</w:t>
      </w:r>
    </w:p>
    <w:p w:rsidR="00CF1BD2" w:rsidRDefault="00CF1BD2">
      <w:pPr>
        <w:pStyle w:val="BodyText"/>
      </w:pPr>
    </w:p>
    <w:p w:rsidR="00CF1BD2" w:rsidRDefault="00201F6E">
      <w:pPr>
        <w:pStyle w:val="Heading1"/>
      </w:pPr>
      <w:r>
        <w:rPr>
          <w:u w:val="single"/>
        </w:rPr>
        <w:t>PROCEDURES:</w:t>
      </w:r>
    </w:p>
    <w:p w:rsidR="00CF1BD2" w:rsidRDefault="00CF1BD2">
      <w:pPr>
        <w:pStyle w:val="BodyText"/>
        <w:spacing w:before="11"/>
        <w:rPr>
          <w:b/>
          <w:sz w:val="15"/>
        </w:rPr>
      </w:pPr>
    </w:p>
    <w:p w:rsidR="00CF1BD2" w:rsidRDefault="00201F6E">
      <w:pPr>
        <w:pStyle w:val="ListParagraph"/>
        <w:numPr>
          <w:ilvl w:val="0"/>
          <w:numId w:val="1"/>
        </w:numPr>
        <w:tabs>
          <w:tab w:val="left" w:pos="660"/>
        </w:tabs>
        <w:spacing w:before="93"/>
        <w:ind w:right="357"/>
        <w:rPr>
          <w:sz w:val="24"/>
        </w:rPr>
      </w:pPr>
      <w:r>
        <w:rPr>
          <w:sz w:val="24"/>
        </w:rPr>
        <w:t>Reports of noncompliance may be provided to the IRB Chair, IRB members, or IRB staff from anyone inside or out</w:t>
      </w:r>
      <w:r>
        <w:rPr>
          <w:sz w:val="24"/>
        </w:rPr>
        <w:t>side of the institution community who has reason to believe that noncompliance with IRB policies and procedures has occurred. These complaints will be accepted verbally or in writing. Upon receipt of an allegation of noncompliance or discovery/admission of</w:t>
      </w:r>
      <w:r>
        <w:rPr>
          <w:sz w:val="24"/>
        </w:rPr>
        <w:t xml:space="preserve"> noncompliance, the person receiving the information will immediately notify the IRB Administrator or IRB Coordinator. The IRB Administrator</w:t>
      </w:r>
      <w:r>
        <w:rPr>
          <w:spacing w:val="-4"/>
          <w:sz w:val="24"/>
        </w:rPr>
        <w:t xml:space="preserve"> </w:t>
      </w:r>
      <w:r>
        <w:rPr>
          <w:sz w:val="24"/>
        </w:rPr>
        <w:t>or</w:t>
      </w:r>
      <w:r>
        <w:rPr>
          <w:spacing w:val="-4"/>
          <w:sz w:val="24"/>
        </w:rPr>
        <w:t xml:space="preserve"> </w:t>
      </w:r>
      <w:r>
        <w:rPr>
          <w:sz w:val="24"/>
        </w:rPr>
        <w:t>the</w:t>
      </w:r>
      <w:r>
        <w:rPr>
          <w:spacing w:val="-4"/>
          <w:sz w:val="24"/>
        </w:rPr>
        <w:t xml:space="preserve"> </w:t>
      </w:r>
      <w:r>
        <w:rPr>
          <w:sz w:val="24"/>
        </w:rPr>
        <w:t>IRB</w:t>
      </w:r>
      <w:r>
        <w:rPr>
          <w:spacing w:val="-4"/>
          <w:sz w:val="24"/>
        </w:rPr>
        <w:t xml:space="preserve"> </w:t>
      </w:r>
      <w:r>
        <w:rPr>
          <w:sz w:val="24"/>
        </w:rPr>
        <w:t>Coordinator</w:t>
      </w:r>
      <w:r>
        <w:rPr>
          <w:spacing w:val="-3"/>
          <w:sz w:val="24"/>
        </w:rPr>
        <w:t xml:space="preserve"> </w:t>
      </w:r>
      <w:r>
        <w:rPr>
          <w:sz w:val="24"/>
        </w:rPr>
        <w:t>will</w:t>
      </w:r>
      <w:r>
        <w:rPr>
          <w:spacing w:val="-4"/>
          <w:sz w:val="24"/>
        </w:rPr>
        <w:t xml:space="preserve"> </w:t>
      </w:r>
      <w:r>
        <w:rPr>
          <w:sz w:val="24"/>
        </w:rPr>
        <w:t>notify</w:t>
      </w:r>
      <w:r>
        <w:rPr>
          <w:spacing w:val="-4"/>
          <w:sz w:val="24"/>
        </w:rPr>
        <w:t xml:space="preserve"> </w:t>
      </w:r>
      <w:r>
        <w:rPr>
          <w:sz w:val="24"/>
        </w:rPr>
        <w:t>the</w:t>
      </w:r>
      <w:r>
        <w:rPr>
          <w:spacing w:val="-4"/>
          <w:sz w:val="24"/>
        </w:rPr>
        <w:t xml:space="preserve"> </w:t>
      </w:r>
      <w:r>
        <w:rPr>
          <w:sz w:val="24"/>
        </w:rPr>
        <w:t>IRB</w:t>
      </w:r>
      <w:r>
        <w:rPr>
          <w:spacing w:val="-3"/>
          <w:sz w:val="24"/>
        </w:rPr>
        <w:t xml:space="preserve"> </w:t>
      </w:r>
      <w:r>
        <w:rPr>
          <w:sz w:val="24"/>
        </w:rPr>
        <w:t>Chair</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information</w:t>
      </w:r>
      <w:r>
        <w:rPr>
          <w:spacing w:val="-4"/>
          <w:sz w:val="24"/>
        </w:rPr>
        <w:t xml:space="preserve"> </w:t>
      </w:r>
      <w:r>
        <w:rPr>
          <w:sz w:val="24"/>
        </w:rPr>
        <w:t>has</w:t>
      </w:r>
      <w:r>
        <w:rPr>
          <w:spacing w:val="-3"/>
          <w:sz w:val="24"/>
        </w:rPr>
        <w:t xml:space="preserve"> </w:t>
      </w:r>
      <w:r>
        <w:rPr>
          <w:sz w:val="24"/>
        </w:rPr>
        <w:t>been</w:t>
      </w:r>
      <w:r>
        <w:rPr>
          <w:spacing w:val="-4"/>
          <w:sz w:val="24"/>
        </w:rPr>
        <w:t xml:space="preserve"> </w:t>
      </w:r>
      <w:r>
        <w:rPr>
          <w:sz w:val="24"/>
        </w:rPr>
        <w:t>received.</w:t>
      </w:r>
    </w:p>
    <w:p w:rsidR="00CF1BD2" w:rsidRDefault="00CF1BD2">
      <w:pPr>
        <w:pStyle w:val="BodyText"/>
        <w:spacing w:before="10"/>
        <w:rPr>
          <w:sz w:val="23"/>
        </w:rPr>
      </w:pPr>
    </w:p>
    <w:p w:rsidR="00CF1BD2" w:rsidRDefault="00201F6E">
      <w:pPr>
        <w:pStyle w:val="ListParagraph"/>
        <w:numPr>
          <w:ilvl w:val="0"/>
          <w:numId w:val="1"/>
        </w:numPr>
        <w:tabs>
          <w:tab w:val="left" w:pos="660"/>
        </w:tabs>
        <w:ind w:right="324"/>
        <w:rPr>
          <w:sz w:val="24"/>
        </w:rPr>
      </w:pPr>
      <w:r>
        <w:rPr>
          <w:sz w:val="24"/>
        </w:rPr>
        <w:t xml:space="preserve">The IRB Administrator or </w:t>
      </w:r>
      <w:r>
        <w:rPr>
          <w:sz w:val="24"/>
        </w:rPr>
        <w:t xml:space="preserve">IRB Coordinator, unless it is believed that notification will jeopardize the investigation, will notify the Respondent that an allegation has been received and provide an opportunity to respond. The IRB will be notified that an allegation was received and </w:t>
      </w:r>
      <w:r>
        <w:rPr>
          <w:sz w:val="24"/>
        </w:rPr>
        <w:t>an investigation is being</w:t>
      </w:r>
      <w:r>
        <w:rPr>
          <w:spacing w:val="-1"/>
          <w:sz w:val="24"/>
        </w:rPr>
        <w:t xml:space="preserve"> </w:t>
      </w:r>
      <w:r>
        <w:rPr>
          <w:sz w:val="24"/>
        </w:rPr>
        <w:t>conducted.</w:t>
      </w:r>
    </w:p>
    <w:p w:rsidR="00CF1BD2" w:rsidRDefault="00CF1BD2">
      <w:pPr>
        <w:pStyle w:val="BodyText"/>
        <w:spacing w:before="1"/>
      </w:pPr>
    </w:p>
    <w:p w:rsidR="00CF1BD2" w:rsidRDefault="00201F6E">
      <w:pPr>
        <w:pStyle w:val="ListParagraph"/>
        <w:numPr>
          <w:ilvl w:val="0"/>
          <w:numId w:val="1"/>
        </w:numPr>
        <w:tabs>
          <w:tab w:val="left" w:pos="660"/>
        </w:tabs>
        <w:ind w:right="399"/>
        <w:rPr>
          <w:sz w:val="24"/>
        </w:rPr>
      </w:pPr>
      <w:r>
        <w:rPr>
          <w:sz w:val="24"/>
        </w:rPr>
        <w:t>The Compliance Officer or designee will conduct an investigation into the matter. Upon completion of the investigation, the IRB will be provided, in writing, a report of the findings of the investigation and other rele</w:t>
      </w:r>
      <w:r>
        <w:rPr>
          <w:sz w:val="24"/>
        </w:rPr>
        <w:t>vant information. The IRB will review the information and make a determination to close the investigation or initiate corrective</w:t>
      </w:r>
      <w:r>
        <w:rPr>
          <w:spacing w:val="-2"/>
          <w:sz w:val="24"/>
        </w:rPr>
        <w:t xml:space="preserve"> </w:t>
      </w:r>
      <w:r>
        <w:rPr>
          <w:sz w:val="24"/>
        </w:rPr>
        <w:t>action.</w:t>
      </w:r>
    </w:p>
    <w:p w:rsidR="00CF1BD2" w:rsidRDefault="00CF1BD2">
      <w:pPr>
        <w:pStyle w:val="BodyText"/>
        <w:spacing w:before="11"/>
        <w:rPr>
          <w:sz w:val="23"/>
        </w:rPr>
      </w:pPr>
    </w:p>
    <w:p w:rsidR="00CF1BD2" w:rsidRDefault="00201F6E">
      <w:pPr>
        <w:pStyle w:val="ListParagraph"/>
        <w:numPr>
          <w:ilvl w:val="0"/>
          <w:numId w:val="1"/>
        </w:numPr>
        <w:tabs>
          <w:tab w:val="left" w:pos="660"/>
        </w:tabs>
        <w:rPr>
          <w:sz w:val="24"/>
        </w:rPr>
      </w:pPr>
      <w:r>
        <w:rPr>
          <w:sz w:val="24"/>
        </w:rPr>
        <w:t>All appropriate parties will be notified of the allegation and the</w:t>
      </w:r>
      <w:r>
        <w:rPr>
          <w:spacing w:val="-9"/>
          <w:sz w:val="24"/>
        </w:rPr>
        <w:t xml:space="preserve"> </w:t>
      </w:r>
      <w:r>
        <w:rPr>
          <w:sz w:val="24"/>
        </w:rPr>
        <w:t>outcome.</w:t>
      </w:r>
    </w:p>
    <w:p w:rsidR="00CF1BD2" w:rsidRDefault="00CF1BD2">
      <w:pPr>
        <w:pStyle w:val="BodyText"/>
      </w:pPr>
    </w:p>
    <w:p w:rsidR="00CF1BD2" w:rsidRDefault="00201F6E">
      <w:pPr>
        <w:pStyle w:val="Heading1"/>
        <w:ind w:left="299"/>
      </w:pPr>
      <w:r>
        <w:rPr>
          <w:u w:val="single"/>
        </w:rPr>
        <w:t>REFERENCES:</w:t>
      </w:r>
    </w:p>
    <w:p w:rsidR="00CF1BD2" w:rsidRDefault="00CF1BD2">
      <w:pPr>
        <w:pStyle w:val="BodyText"/>
        <w:rPr>
          <w:b/>
        </w:rPr>
      </w:pPr>
    </w:p>
    <w:p w:rsidR="00CF1BD2" w:rsidRDefault="00201F6E">
      <w:pPr>
        <w:pStyle w:val="ListParagraph"/>
        <w:numPr>
          <w:ilvl w:val="1"/>
          <w:numId w:val="1"/>
        </w:numPr>
        <w:tabs>
          <w:tab w:val="left" w:pos="1019"/>
          <w:tab w:val="left" w:pos="1020"/>
        </w:tabs>
        <w:spacing w:line="293" w:lineRule="exact"/>
        <w:rPr>
          <w:sz w:val="24"/>
        </w:rPr>
      </w:pPr>
      <w:r>
        <w:rPr>
          <w:sz w:val="24"/>
        </w:rPr>
        <w:t>21 CFR</w:t>
      </w:r>
      <w:r>
        <w:rPr>
          <w:spacing w:val="-9"/>
          <w:sz w:val="24"/>
        </w:rPr>
        <w:t xml:space="preserve"> </w:t>
      </w:r>
      <w:r>
        <w:rPr>
          <w:sz w:val="24"/>
        </w:rPr>
        <w:t>56.113</w:t>
      </w:r>
    </w:p>
    <w:p w:rsidR="00CF1BD2" w:rsidRDefault="00201F6E">
      <w:pPr>
        <w:pStyle w:val="ListParagraph"/>
        <w:numPr>
          <w:ilvl w:val="1"/>
          <w:numId w:val="1"/>
        </w:numPr>
        <w:tabs>
          <w:tab w:val="left" w:pos="1019"/>
          <w:tab w:val="left" w:pos="1020"/>
        </w:tabs>
        <w:spacing w:line="293" w:lineRule="exact"/>
        <w:rPr>
          <w:sz w:val="24"/>
        </w:rPr>
      </w:pPr>
      <w:r>
        <w:rPr>
          <w:sz w:val="24"/>
        </w:rPr>
        <w:t>45 CFR</w:t>
      </w:r>
      <w:r>
        <w:rPr>
          <w:spacing w:val="-9"/>
          <w:sz w:val="24"/>
        </w:rPr>
        <w:t xml:space="preserve"> </w:t>
      </w:r>
      <w:r>
        <w:rPr>
          <w:sz w:val="24"/>
        </w:rPr>
        <w:t>46.113</w:t>
      </w:r>
    </w:p>
    <w:p w:rsidR="00CF1BD2" w:rsidRDefault="00CF1BD2">
      <w:pPr>
        <w:pStyle w:val="BodyText"/>
        <w:spacing w:before="10"/>
        <w:rPr>
          <w:sz w:val="23"/>
        </w:rPr>
      </w:pPr>
    </w:p>
    <w:p w:rsidR="00CF1BD2" w:rsidRDefault="00201F6E">
      <w:pPr>
        <w:pStyle w:val="Heading1"/>
      </w:pPr>
      <w:r>
        <w:rPr>
          <w:u w:val="single"/>
        </w:rPr>
        <w:t>DOCUMENTATION (Documents &amp; Forms)</w:t>
      </w:r>
    </w:p>
    <w:p w:rsidR="00CF1BD2" w:rsidRDefault="00CF1BD2">
      <w:pPr>
        <w:pStyle w:val="BodyText"/>
        <w:spacing w:before="10"/>
        <w:rPr>
          <w:b/>
          <w:sz w:val="15"/>
        </w:rPr>
      </w:pPr>
    </w:p>
    <w:p w:rsidR="00CF1BD2" w:rsidRDefault="00201F6E">
      <w:pPr>
        <w:spacing w:before="93"/>
        <w:ind w:left="300"/>
        <w:rPr>
          <w:b/>
          <w:sz w:val="24"/>
        </w:rPr>
      </w:pPr>
      <w:r>
        <w:rPr>
          <w:b/>
          <w:sz w:val="24"/>
          <w:u w:val="single"/>
        </w:rPr>
        <w:t>Other Related Policy/Procedures:</w:t>
      </w:r>
    </w:p>
    <w:p w:rsidR="00CF1BD2" w:rsidRDefault="00201F6E">
      <w:pPr>
        <w:pStyle w:val="BodyText"/>
        <w:spacing w:before="1"/>
        <w:ind w:left="660"/>
      </w:pPr>
      <w:r>
        <w:t>1. Adverse Events and Unanticipated Risk Reporting</w:t>
      </w:r>
    </w:p>
    <w:p w:rsidR="00CF1BD2" w:rsidRDefault="00CF1BD2">
      <w:pPr>
        <w:pStyle w:val="BodyText"/>
        <w:spacing w:before="11"/>
        <w:rPr>
          <w:sz w:val="23"/>
        </w:rPr>
      </w:pPr>
    </w:p>
    <w:p w:rsidR="00CF1BD2" w:rsidRDefault="00201F6E">
      <w:pPr>
        <w:pStyle w:val="Heading1"/>
        <w:ind w:left="4025" w:right="3944"/>
        <w:jc w:val="center"/>
      </w:pPr>
      <w:r>
        <w:t>REVISION HISTORY</w:t>
      </w:r>
    </w:p>
    <w:p w:rsidR="00CF1BD2" w:rsidRDefault="00CF1BD2">
      <w:pPr>
        <w:pStyle w:val="BodyText"/>
        <w:rPr>
          <w:b/>
          <w:sz w:val="20"/>
        </w:rPr>
      </w:pPr>
    </w:p>
    <w:p w:rsidR="00CF1BD2" w:rsidRDefault="00CF1BD2">
      <w:pPr>
        <w:pStyle w:val="BodyText"/>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CF1BD2">
        <w:trPr>
          <w:trHeight w:val="252"/>
        </w:trPr>
        <w:tc>
          <w:tcPr>
            <w:tcW w:w="2250" w:type="dxa"/>
            <w:shd w:val="clear" w:color="auto" w:fill="D9D9D9"/>
          </w:tcPr>
          <w:p w:rsidR="00CF1BD2" w:rsidRDefault="00201F6E">
            <w:pPr>
              <w:pStyle w:val="TableParagraph"/>
              <w:spacing w:line="233" w:lineRule="exact"/>
              <w:ind w:left="220"/>
              <w:rPr>
                <w:b/>
              </w:rPr>
            </w:pPr>
            <w:r>
              <w:rPr>
                <w:b/>
              </w:rPr>
              <w:t>Revision Number</w:t>
            </w:r>
          </w:p>
        </w:tc>
        <w:tc>
          <w:tcPr>
            <w:tcW w:w="3690" w:type="dxa"/>
            <w:shd w:val="clear" w:color="auto" w:fill="D9D9D9"/>
          </w:tcPr>
          <w:p w:rsidR="00CF1BD2" w:rsidRDefault="00201F6E">
            <w:pPr>
              <w:pStyle w:val="TableParagraph"/>
              <w:spacing w:line="233" w:lineRule="exact"/>
              <w:ind w:left="610"/>
              <w:rPr>
                <w:b/>
              </w:rPr>
            </w:pPr>
            <w:r>
              <w:rPr>
                <w:b/>
              </w:rPr>
              <w:t>Description of Changes</w:t>
            </w:r>
          </w:p>
        </w:tc>
        <w:tc>
          <w:tcPr>
            <w:tcW w:w="1854" w:type="dxa"/>
            <w:shd w:val="clear" w:color="auto" w:fill="D9D9D9"/>
          </w:tcPr>
          <w:p w:rsidR="00CF1BD2" w:rsidRDefault="00201F6E">
            <w:pPr>
              <w:pStyle w:val="TableParagraph"/>
              <w:spacing w:line="233" w:lineRule="exact"/>
              <w:ind w:left="388"/>
              <w:rPr>
                <w:b/>
              </w:rPr>
            </w:pPr>
            <w:r>
              <w:rPr>
                <w:b/>
              </w:rPr>
              <w:t>Approvals</w:t>
            </w:r>
          </w:p>
        </w:tc>
        <w:tc>
          <w:tcPr>
            <w:tcW w:w="1854" w:type="dxa"/>
            <w:shd w:val="clear" w:color="auto" w:fill="D9D9D9"/>
          </w:tcPr>
          <w:p w:rsidR="00CF1BD2" w:rsidRDefault="00201F6E">
            <w:pPr>
              <w:pStyle w:val="TableParagraph"/>
              <w:spacing w:line="233" w:lineRule="exact"/>
              <w:ind w:left="668" w:right="659"/>
              <w:jc w:val="center"/>
              <w:rPr>
                <w:b/>
              </w:rPr>
            </w:pPr>
            <w:r>
              <w:rPr>
                <w:b/>
              </w:rPr>
              <w:t>Date</w:t>
            </w:r>
          </w:p>
        </w:tc>
      </w:tr>
      <w:tr w:rsidR="00CF1BD2">
        <w:trPr>
          <w:trHeight w:val="276"/>
        </w:trPr>
        <w:tc>
          <w:tcPr>
            <w:tcW w:w="2250" w:type="dxa"/>
          </w:tcPr>
          <w:p w:rsidR="00CF1BD2" w:rsidRDefault="00CF1BD2">
            <w:pPr>
              <w:pStyle w:val="TableParagraph"/>
              <w:rPr>
                <w:rFonts w:ascii="Times New Roman"/>
                <w:sz w:val="20"/>
              </w:rPr>
            </w:pPr>
          </w:p>
        </w:tc>
        <w:tc>
          <w:tcPr>
            <w:tcW w:w="3690" w:type="dxa"/>
          </w:tcPr>
          <w:p w:rsidR="00CF1BD2" w:rsidRDefault="00CF1BD2">
            <w:pPr>
              <w:pStyle w:val="TableParagraph"/>
              <w:rPr>
                <w:rFonts w:ascii="Times New Roman"/>
                <w:sz w:val="20"/>
              </w:rPr>
            </w:pPr>
          </w:p>
        </w:tc>
        <w:tc>
          <w:tcPr>
            <w:tcW w:w="1854" w:type="dxa"/>
          </w:tcPr>
          <w:p w:rsidR="00CF1BD2" w:rsidRDefault="00CF1BD2">
            <w:pPr>
              <w:pStyle w:val="TableParagraph"/>
              <w:rPr>
                <w:rFonts w:ascii="Times New Roman"/>
                <w:sz w:val="20"/>
              </w:rPr>
            </w:pPr>
          </w:p>
        </w:tc>
        <w:tc>
          <w:tcPr>
            <w:tcW w:w="1854" w:type="dxa"/>
          </w:tcPr>
          <w:p w:rsidR="00CF1BD2" w:rsidRDefault="00CF1BD2">
            <w:pPr>
              <w:pStyle w:val="TableParagraph"/>
              <w:rPr>
                <w:rFonts w:ascii="Times New Roman"/>
                <w:sz w:val="20"/>
              </w:rPr>
            </w:pPr>
          </w:p>
        </w:tc>
      </w:tr>
      <w:tr w:rsidR="00CF1BD2">
        <w:trPr>
          <w:trHeight w:val="275"/>
        </w:trPr>
        <w:tc>
          <w:tcPr>
            <w:tcW w:w="2250" w:type="dxa"/>
          </w:tcPr>
          <w:p w:rsidR="00CF1BD2" w:rsidRDefault="00CF1BD2">
            <w:pPr>
              <w:pStyle w:val="TableParagraph"/>
              <w:rPr>
                <w:rFonts w:ascii="Times New Roman"/>
                <w:sz w:val="20"/>
              </w:rPr>
            </w:pPr>
          </w:p>
        </w:tc>
        <w:tc>
          <w:tcPr>
            <w:tcW w:w="3690" w:type="dxa"/>
          </w:tcPr>
          <w:p w:rsidR="00CF1BD2" w:rsidRDefault="00CF1BD2">
            <w:pPr>
              <w:pStyle w:val="TableParagraph"/>
              <w:rPr>
                <w:rFonts w:ascii="Times New Roman"/>
                <w:sz w:val="20"/>
              </w:rPr>
            </w:pPr>
          </w:p>
        </w:tc>
        <w:tc>
          <w:tcPr>
            <w:tcW w:w="1854" w:type="dxa"/>
          </w:tcPr>
          <w:p w:rsidR="00CF1BD2" w:rsidRDefault="00CF1BD2">
            <w:pPr>
              <w:pStyle w:val="TableParagraph"/>
              <w:rPr>
                <w:rFonts w:ascii="Times New Roman"/>
                <w:sz w:val="20"/>
              </w:rPr>
            </w:pPr>
          </w:p>
        </w:tc>
        <w:tc>
          <w:tcPr>
            <w:tcW w:w="1854" w:type="dxa"/>
          </w:tcPr>
          <w:p w:rsidR="00CF1BD2" w:rsidRDefault="00CF1BD2">
            <w:pPr>
              <w:pStyle w:val="TableParagraph"/>
              <w:rPr>
                <w:rFonts w:ascii="Times New Roman"/>
                <w:sz w:val="20"/>
              </w:rPr>
            </w:pPr>
          </w:p>
        </w:tc>
      </w:tr>
      <w:tr w:rsidR="00CF1BD2">
        <w:trPr>
          <w:trHeight w:val="275"/>
        </w:trPr>
        <w:tc>
          <w:tcPr>
            <w:tcW w:w="2250" w:type="dxa"/>
          </w:tcPr>
          <w:p w:rsidR="00CF1BD2" w:rsidRDefault="00CF1BD2">
            <w:pPr>
              <w:pStyle w:val="TableParagraph"/>
              <w:rPr>
                <w:rFonts w:ascii="Times New Roman"/>
                <w:sz w:val="20"/>
              </w:rPr>
            </w:pPr>
          </w:p>
        </w:tc>
        <w:tc>
          <w:tcPr>
            <w:tcW w:w="3690" w:type="dxa"/>
          </w:tcPr>
          <w:p w:rsidR="00CF1BD2" w:rsidRDefault="00CF1BD2">
            <w:pPr>
              <w:pStyle w:val="TableParagraph"/>
              <w:rPr>
                <w:rFonts w:ascii="Times New Roman"/>
                <w:sz w:val="20"/>
              </w:rPr>
            </w:pPr>
          </w:p>
        </w:tc>
        <w:tc>
          <w:tcPr>
            <w:tcW w:w="1854" w:type="dxa"/>
          </w:tcPr>
          <w:p w:rsidR="00CF1BD2" w:rsidRDefault="00CF1BD2">
            <w:pPr>
              <w:pStyle w:val="TableParagraph"/>
              <w:rPr>
                <w:rFonts w:ascii="Times New Roman"/>
                <w:sz w:val="20"/>
              </w:rPr>
            </w:pPr>
          </w:p>
        </w:tc>
        <w:tc>
          <w:tcPr>
            <w:tcW w:w="1854" w:type="dxa"/>
          </w:tcPr>
          <w:p w:rsidR="00CF1BD2" w:rsidRDefault="00CF1BD2">
            <w:pPr>
              <w:pStyle w:val="TableParagraph"/>
              <w:rPr>
                <w:rFonts w:ascii="Times New Roman"/>
                <w:sz w:val="20"/>
              </w:rPr>
            </w:pPr>
          </w:p>
        </w:tc>
      </w:tr>
      <w:tr w:rsidR="00CF1BD2">
        <w:trPr>
          <w:trHeight w:val="275"/>
        </w:trPr>
        <w:tc>
          <w:tcPr>
            <w:tcW w:w="2250" w:type="dxa"/>
          </w:tcPr>
          <w:p w:rsidR="00CF1BD2" w:rsidRDefault="00CF1BD2">
            <w:pPr>
              <w:pStyle w:val="TableParagraph"/>
              <w:rPr>
                <w:rFonts w:ascii="Times New Roman"/>
                <w:sz w:val="20"/>
              </w:rPr>
            </w:pPr>
          </w:p>
        </w:tc>
        <w:tc>
          <w:tcPr>
            <w:tcW w:w="3690" w:type="dxa"/>
          </w:tcPr>
          <w:p w:rsidR="00CF1BD2" w:rsidRDefault="00CF1BD2">
            <w:pPr>
              <w:pStyle w:val="TableParagraph"/>
              <w:rPr>
                <w:rFonts w:ascii="Times New Roman"/>
                <w:sz w:val="20"/>
              </w:rPr>
            </w:pPr>
          </w:p>
        </w:tc>
        <w:tc>
          <w:tcPr>
            <w:tcW w:w="1854" w:type="dxa"/>
          </w:tcPr>
          <w:p w:rsidR="00CF1BD2" w:rsidRDefault="00CF1BD2">
            <w:pPr>
              <w:pStyle w:val="TableParagraph"/>
              <w:rPr>
                <w:rFonts w:ascii="Times New Roman"/>
                <w:sz w:val="20"/>
              </w:rPr>
            </w:pPr>
          </w:p>
        </w:tc>
        <w:tc>
          <w:tcPr>
            <w:tcW w:w="1854" w:type="dxa"/>
          </w:tcPr>
          <w:p w:rsidR="00CF1BD2" w:rsidRDefault="00CF1BD2">
            <w:pPr>
              <w:pStyle w:val="TableParagraph"/>
              <w:rPr>
                <w:rFonts w:ascii="Times New Roman"/>
                <w:sz w:val="20"/>
              </w:rPr>
            </w:pPr>
          </w:p>
        </w:tc>
      </w:tr>
      <w:tr w:rsidR="00CF1BD2">
        <w:trPr>
          <w:trHeight w:val="276"/>
        </w:trPr>
        <w:tc>
          <w:tcPr>
            <w:tcW w:w="2250" w:type="dxa"/>
          </w:tcPr>
          <w:p w:rsidR="00CF1BD2" w:rsidRDefault="00CF1BD2">
            <w:pPr>
              <w:pStyle w:val="TableParagraph"/>
              <w:rPr>
                <w:rFonts w:ascii="Times New Roman"/>
                <w:sz w:val="20"/>
              </w:rPr>
            </w:pPr>
          </w:p>
        </w:tc>
        <w:tc>
          <w:tcPr>
            <w:tcW w:w="3690" w:type="dxa"/>
          </w:tcPr>
          <w:p w:rsidR="00CF1BD2" w:rsidRDefault="00CF1BD2">
            <w:pPr>
              <w:pStyle w:val="TableParagraph"/>
              <w:rPr>
                <w:rFonts w:ascii="Times New Roman"/>
                <w:sz w:val="20"/>
              </w:rPr>
            </w:pPr>
          </w:p>
        </w:tc>
        <w:tc>
          <w:tcPr>
            <w:tcW w:w="1854" w:type="dxa"/>
          </w:tcPr>
          <w:p w:rsidR="00CF1BD2" w:rsidRDefault="00CF1BD2">
            <w:pPr>
              <w:pStyle w:val="TableParagraph"/>
              <w:rPr>
                <w:rFonts w:ascii="Times New Roman"/>
                <w:sz w:val="20"/>
              </w:rPr>
            </w:pPr>
          </w:p>
        </w:tc>
        <w:tc>
          <w:tcPr>
            <w:tcW w:w="1854" w:type="dxa"/>
          </w:tcPr>
          <w:p w:rsidR="00CF1BD2" w:rsidRDefault="00CF1BD2">
            <w:pPr>
              <w:pStyle w:val="TableParagraph"/>
              <w:rPr>
                <w:rFonts w:ascii="Times New Roman"/>
                <w:sz w:val="20"/>
              </w:rPr>
            </w:pPr>
          </w:p>
        </w:tc>
      </w:tr>
    </w:tbl>
    <w:p w:rsidR="00000000" w:rsidRDefault="00201F6E"/>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1F6E">
      <w:r>
        <w:separator/>
      </w:r>
    </w:p>
  </w:endnote>
  <w:endnote w:type="continuationSeparator" w:id="0">
    <w:p w:rsidR="00000000" w:rsidRDefault="0020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D2" w:rsidRDefault="00201F6E">
    <w:pPr>
      <w:pStyle w:val="BodyText"/>
      <w:spacing w:line="14" w:lineRule="auto"/>
      <w:rPr>
        <w:sz w:val="20"/>
      </w:rPr>
    </w:pPr>
    <w:r>
      <w:rPr>
        <w:noProof/>
      </w:rPr>
      <mc:AlternateContent>
        <mc:Choice Requires="wpg">
          <w:drawing>
            <wp:anchor distT="0" distB="0" distL="114300" distR="114300" simplePos="0" relativeHeight="503311184"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7D61F3" id="Group 4" o:spid="_x0000_s1026" style="position:absolute;margin-left:70.5pt;margin-top:711.1pt;width:471pt;height:4.45pt;z-index:-5296;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1208"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BD2" w:rsidRDefault="00201F6E">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CF1BD2" w:rsidRDefault="00201F6E">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1232"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BD2" w:rsidRDefault="00201F6E">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CF1BD2" w:rsidRDefault="00201F6E">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256"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BD2" w:rsidRDefault="00201F6E">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CF1BD2" w:rsidRDefault="00201F6E">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1F6E">
      <w:r>
        <w:separator/>
      </w:r>
    </w:p>
  </w:footnote>
  <w:footnote w:type="continuationSeparator" w:id="0">
    <w:p w:rsidR="00000000" w:rsidRDefault="0020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11CF0"/>
    <w:multiLevelType w:val="hybridMultilevel"/>
    <w:tmpl w:val="A1E0A5E2"/>
    <w:lvl w:ilvl="0" w:tplc="4E9E9986">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24CE5718">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A5B8338A">
      <w:numFmt w:val="bullet"/>
      <w:lvlText w:val="•"/>
      <w:lvlJc w:val="left"/>
      <w:pPr>
        <w:ind w:left="2324" w:hanging="360"/>
      </w:pPr>
      <w:rPr>
        <w:rFonts w:hint="default"/>
      </w:rPr>
    </w:lvl>
    <w:lvl w:ilvl="3" w:tplc="A85428CE">
      <w:numFmt w:val="bullet"/>
      <w:lvlText w:val="•"/>
      <w:lvlJc w:val="left"/>
      <w:pPr>
        <w:ind w:left="3268" w:hanging="360"/>
      </w:pPr>
      <w:rPr>
        <w:rFonts w:hint="default"/>
      </w:rPr>
    </w:lvl>
    <w:lvl w:ilvl="4" w:tplc="B4C432F0">
      <w:numFmt w:val="bullet"/>
      <w:lvlText w:val="•"/>
      <w:lvlJc w:val="left"/>
      <w:pPr>
        <w:ind w:left="4213" w:hanging="360"/>
      </w:pPr>
      <w:rPr>
        <w:rFonts w:hint="default"/>
      </w:rPr>
    </w:lvl>
    <w:lvl w:ilvl="5" w:tplc="8996A0DA">
      <w:numFmt w:val="bullet"/>
      <w:lvlText w:val="•"/>
      <w:lvlJc w:val="left"/>
      <w:pPr>
        <w:ind w:left="5157" w:hanging="360"/>
      </w:pPr>
      <w:rPr>
        <w:rFonts w:hint="default"/>
      </w:rPr>
    </w:lvl>
    <w:lvl w:ilvl="6" w:tplc="526085B8">
      <w:numFmt w:val="bullet"/>
      <w:lvlText w:val="•"/>
      <w:lvlJc w:val="left"/>
      <w:pPr>
        <w:ind w:left="6102" w:hanging="360"/>
      </w:pPr>
      <w:rPr>
        <w:rFonts w:hint="default"/>
      </w:rPr>
    </w:lvl>
    <w:lvl w:ilvl="7" w:tplc="46348B12">
      <w:numFmt w:val="bullet"/>
      <w:lvlText w:val="•"/>
      <w:lvlJc w:val="left"/>
      <w:pPr>
        <w:ind w:left="7046" w:hanging="360"/>
      </w:pPr>
      <w:rPr>
        <w:rFonts w:hint="default"/>
      </w:rPr>
    </w:lvl>
    <w:lvl w:ilvl="8" w:tplc="BB76470C">
      <w:numFmt w:val="bullet"/>
      <w:lvlText w:val="•"/>
      <w:lvlJc w:val="left"/>
      <w:pPr>
        <w:ind w:left="7991" w:hanging="360"/>
      </w:pPr>
      <w:rPr>
        <w:rFonts w:hint="default"/>
      </w:rPr>
    </w:lvl>
  </w:abstractNum>
  <w:abstractNum w:abstractNumId="1" w15:restartNumberingAfterBreak="0">
    <w:nsid w:val="738C2236"/>
    <w:multiLevelType w:val="hybridMultilevel"/>
    <w:tmpl w:val="4E64E4FA"/>
    <w:lvl w:ilvl="0" w:tplc="0AC210AE">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2E14FBF8">
      <w:numFmt w:val="bullet"/>
      <w:lvlText w:val=""/>
      <w:lvlJc w:val="left"/>
      <w:pPr>
        <w:ind w:left="1020" w:hanging="360"/>
      </w:pPr>
      <w:rPr>
        <w:rFonts w:ascii="Symbol" w:eastAsia="Symbol" w:hAnsi="Symbol" w:cs="Symbol" w:hint="default"/>
        <w:w w:val="100"/>
        <w:sz w:val="24"/>
        <w:szCs w:val="24"/>
      </w:rPr>
    </w:lvl>
    <w:lvl w:ilvl="2" w:tplc="2264DDDC">
      <w:numFmt w:val="bullet"/>
      <w:lvlText w:val="•"/>
      <w:lvlJc w:val="left"/>
      <w:pPr>
        <w:ind w:left="2004" w:hanging="360"/>
      </w:pPr>
      <w:rPr>
        <w:rFonts w:hint="default"/>
      </w:rPr>
    </w:lvl>
    <w:lvl w:ilvl="3" w:tplc="E4A2A52C">
      <w:numFmt w:val="bullet"/>
      <w:lvlText w:val="•"/>
      <w:lvlJc w:val="left"/>
      <w:pPr>
        <w:ind w:left="2988" w:hanging="360"/>
      </w:pPr>
      <w:rPr>
        <w:rFonts w:hint="default"/>
      </w:rPr>
    </w:lvl>
    <w:lvl w:ilvl="4" w:tplc="3C18ED04">
      <w:numFmt w:val="bullet"/>
      <w:lvlText w:val="•"/>
      <w:lvlJc w:val="left"/>
      <w:pPr>
        <w:ind w:left="3973" w:hanging="360"/>
      </w:pPr>
      <w:rPr>
        <w:rFonts w:hint="default"/>
      </w:rPr>
    </w:lvl>
    <w:lvl w:ilvl="5" w:tplc="3DEAC618">
      <w:numFmt w:val="bullet"/>
      <w:lvlText w:val="•"/>
      <w:lvlJc w:val="left"/>
      <w:pPr>
        <w:ind w:left="4957" w:hanging="360"/>
      </w:pPr>
      <w:rPr>
        <w:rFonts w:hint="default"/>
      </w:rPr>
    </w:lvl>
    <w:lvl w:ilvl="6" w:tplc="1930A166">
      <w:numFmt w:val="bullet"/>
      <w:lvlText w:val="•"/>
      <w:lvlJc w:val="left"/>
      <w:pPr>
        <w:ind w:left="5942" w:hanging="360"/>
      </w:pPr>
      <w:rPr>
        <w:rFonts w:hint="default"/>
      </w:rPr>
    </w:lvl>
    <w:lvl w:ilvl="7" w:tplc="5970B518">
      <w:numFmt w:val="bullet"/>
      <w:lvlText w:val="•"/>
      <w:lvlJc w:val="left"/>
      <w:pPr>
        <w:ind w:left="6926" w:hanging="360"/>
      </w:pPr>
      <w:rPr>
        <w:rFonts w:hint="default"/>
      </w:rPr>
    </w:lvl>
    <w:lvl w:ilvl="8" w:tplc="0F8A67F6">
      <w:numFmt w:val="bullet"/>
      <w:lvlText w:val="•"/>
      <w:lvlJc w:val="left"/>
      <w:pPr>
        <w:ind w:left="791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D2"/>
    <w:rsid w:val="00201F6E"/>
    <w:rsid w:val="00CF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B082EEB2-C65D-4E53-A63E-AD2FA091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IRB Allegations of Non-Compliance, Concerns or Complaints - APPROVED 01.25.2017</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Allegations of Non-Compliance, Concerns or Complaints - APPROVED 01.25.2017</dc:title>
  <dc:creator>FLEWIS</dc:creator>
  <cp:lastModifiedBy>Reilly Moss</cp:lastModifiedBy>
  <cp:revision>2</cp:revision>
  <dcterms:created xsi:type="dcterms:W3CDTF">2019-07-08T18:47:00Z</dcterms:created>
  <dcterms:modified xsi:type="dcterms:W3CDTF">2019-07-08T18:47:00Z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2019-07-08T00:00:00Z</vt:filetime>
  </property>
</Properties>
</file>