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69" w:rsidRDefault="00962999">
      <w:pPr>
        <w:spacing w:before="79"/>
        <w:ind w:left="3066"/>
        <w:rPr>
          <w:b/>
          <w:sz w:val="28"/>
        </w:rPr>
      </w:pPr>
      <w:bookmarkStart w:id="0" w:name="_GoBack"/>
      <w:bookmarkEnd w:id="0"/>
      <w:r>
        <w:rPr>
          <w:b/>
          <w:sz w:val="28"/>
          <w:u w:val="thick"/>
        </w:rPr>
        <w:t>Phoebe Putney Health System, Inc.</w:t>
      </w:r>
    </w:p>
    <w:p w:rsidR="00710269" w:rsidRDefault="00710269">
      <w:pPr>
        <w:pStyle w:val="BodyText"/>
        <w:spacing w:before="11"/>
        <w:rPr>
          <w:b/>
          <w:sz w:val="15"/>
        </w:rPr>
      </w:pPr>
    </w:p>
    <w:p w:rsidR="00710269" w:rsidRDefault="00962999">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153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w:t>
      </w:r>
      <w:r>
        <w:rPr>
          <w:spacing w:val="-21"/>
        </w:rPr>
        <w:t xml:space="preserve"> </w:t>
      </w:r>
      <w:r>
        <w:t>CONTINUING</w:t>
      </w:r>
      <w:r>
        <w:rPr>
          <w:spacing w:val="-6"/>
        </w:rPr>
        <w:t xml:space="preserve"> </w:t>
      </w:r>
      <w:r>
        <w:t>REVIEW</w:t>
      </w:r>
      <w:r>
        <w:tab/>
        <w:t>POLICY NO.:</w:t>
      </w:r>
      <w:r>
        <w:rPr>
          <w:spacing w:val="-1"/>
        </w:rPr>
        <w:t xml:space="preserve"> </w:t>
      </w:r>
      <w:r>
        <w:t>PPMH</w:t>
      </w:r>
    </w:p>
    <w:p w:rsidR="00710269" w:rsidRDefault="00962999">
      <w:pPr>
        <w:tabs>
          <w:tab w:val="left" w:pos="6781"/>
        </w:tabs>
        <w:spacing w:before="56"/>
        <w:ind w:left="299"/>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r>
        <w:rPr>
          <w:spacing w:val="-2"/>
          <w:sz w:val="24"/>
        </w:rPr>
        <w:t xml:space="preserve"> </w:t>
      </w:r>
      <w:r>
        <w:rPr>
          <w:sz w:val="24"/>
        </w:rPr>
        <w:t>03/25/2015</w:t>
      </w:r>
    </w:p>
    <w:p w:rsidR="00710269" w:rsidRDefault="00962999">
      <w:pPr>
        <w:tabs>
          <w:tab w:val="left" w:pos="6779"/>
        </w:tabs>
        <w:spacing w:line="275" w:lineRule="exact"/>
        <w:ind w:left="299"/>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710269" w:rsidRDefault="00962999">
      <w:pPr>
        <w:tabs>
          <w:tab w:val="left" w:pos="6779"/>
        </w:tabs>
        <w:ind w:left="6780" w:right="756"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03/25/2015</w:t>
      </w:r>
      <w:r>
        <w:rPr>
          <w:spacing w:val="-1"/>
          <w:w w:val="99"/>
          <w:sz w:val="24"/>
        </w:rPr>
        <w:t xml:space="preserve"> </w:t>
      </w:r>
      <w:r>
        <w:rPr>
          <w:sz w:val="24"/>
        </w:rPr>
        <w:t>Effective Date:</w:t>
      </w:r>
      <w:r>
        <w:rPr>
          <w:spacing w:val="-23"/>
          <w:sz w:val="24"/>
        </w:rPr>
        <w:t xml:space="preserve"> </w:t>
      </w:r>
      <w:r>
        <w:rPr>
          <w:sz w:val="24"/>
        </w:rPr>
        <w:t>03/25/2015</w:t>
      </w:r>
    </w:p>
    <w:p w:rsidR="00710269" w:rsidRDefault="00962999">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086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710269" w:rsidRDefault="00710269">
      <w:pPr>
        <w:pStyle w:val="BodyText"/>
        <w:spacing w:before="6"/>
        <w:rPr>
          <w:sz w:val="35"/>
        </w:rPr>
      </w:pPr>
    </w:p>
    <w:p w:rsidR="00710269" w:rsidRDefault="00962999">
      <w:pPr>
        <w:pStyle w:val="BodyText"/>
        <w:ind w:left="300" w:right="125"/>
      </w:pPr>
      <w:r>
        <w:rPr>
          <w:b/>
          <w:u w:val="single"/>
        </w:rPr>
        <w:t>SCOPE</w:t>
      </w:r>
      <w:r>
        <w:rPr>
          <w:b/>
        </w:rPr>
        <w:t xml:space="preserve">: </w:t>
      </w:r>
      <w:r>
        <w:t>The Continuing Review policy applies to all research involving human subjects, including behavioral, biomedical, and social sciences.</w:t>
      </w:r>
    </w:p>
    <w:p w:rsidR="00710269" w:rsidRDefault="00710269">
      <w:pPr>
        <w:pStyle w:val="BodyText"/>
        <w:rPr>
          <w:sz w:val="26"/>
        </w:rPr>
      </w:pPr>
    </w:p>
    <w:p w:rsidR="00710269" w:rsidRDefault="00710269">
      <w:pPr>
        <w:pStyle w:val="BodyText"/>
        <w:rPr>
          <w:sz w:val="22"/>
        </w:rPr>
      </w:pPr>
    </w:p>
    <w:p w:rsidR="00710269" w:rsidRDefault="00962999">
      <w:pPr>
        <w:pStyle w:val="BodyText"/>
        <w:ind w:left="300" w:right="219"/>
        <w:jc w:val="both"/>
      </w:pPr>
      <w:r>
        <w:rPr>
          <w:b/>
          <w:u w:val="single"/>
        </w:rPr>
        <w:t>PURPOSE:</w:t>
      </w:r>
      <w:r>
        <w:rPr>
          <w:b/>
        </w:rPr>
        <w:t xml:space="preserve"> </w:t>
      </w:r>
      <w:r>
        <w:t>To provide for continuing review of research activities conducted within Phoebe Putney Memorial Hospital (PPMH) in accordance with the human subjects protections regulations. This policy outlines the procedures to be used for determining the period for and</w:t>
      </w:r>
      <w:r>
        <w:t xml:space="preserve"> conducting continuing reviews of research activities falling under the jurisdiction of the Institutional Review Board (IRB).</w:t>
      </w:r>
    </w:p>
    <w:p w:rsidR="00710269" w:rsidRDefault="00710269">
      <w:pPr>
        <w:pStyle w:val="BodyText"/>
        <w:rPr>
          <w:sz w:val="26"/>
        </w:rPr>
      </w:pPr>
    </w:p>
    <w:p w:rsidR="00710269" w:rsidRDefault="00710269">
      <w:pPr>
        <w:pStyle w:val="BodyText"/>
        <w:rPr>
          <w:sz w:val="22"/>
        </w:rPr>
      </w:pPr>
    </w:p>
    <w:p w:rsidR="00710269" w:rsidRDefault="00962999">
      <w:pPr>
        <w:pStyle w:val="Heading1"/>
      </w:pPr>
      <w:r>
        <w:rPr>
          <w:u w:val="single"/>
        </w:rPr>
        <w:t>DEFINITIONS:</w:t>
      </w:r>
      <w:r>
        <w:rPr>
          <w:spacing w:val="54"/>
          <w:u w:val="single"/>
        </w:rPr>
        <w:t xml:space="preserve"> </w:t>
      </w:r>
      <w:r>
        <w:rPr>
          <w:u w:val="single"/>
        </w:rPr>
        <w:t>N/A</w:t>
      </w:r>
    </w:p>
    <w:p w:rsidR="00710269" w:rsidRDefault="00710269">
      <w:pPr>
        <w:pStyle w:val="BodyText"/>
        <w:rPr>
          <w:b/>
          <w:sz w:val="20"/>
        </w:rPr>
      </w:pPr>
    </w:p>
    <w:p w:rsidR="00710269" w:rsidRDefault="00710269">
      <w:pPr>
        <w:pStyle w:val="BodyText"/>
        <w:spacing w:before="10"/>
        <w:rPr>
          <w:b/>
          <w:sz w:val="19"/>
        </w:rPr>
      </w:pPr>
    </w:p>
    <w:p w:rsidR="00710269" w:rsidRDefault="00962999">
      <w:pPr>
        <w:spacing w:before="93"/>
        <w:ind w:left="300"/>
        <w:rPr>
          <w:b/>
          <w:sz w:val="24"/>
        </w:rPr>
      </w:pPr>
      <w:r>
        <w:rPr>
          <w:b/>
          <w:sz w:val="24"/>
          <w:u w:val="single"/>
        </w:rPr>
        <w:t>POLICY:</w:t>
      </w:r>
    </w:p>
    <w:p w:rsidR="00710269" w:rsidRDefault="00710269">
      <w:pPr>
        <w:pStyle w:val="BodyText"/>
        <w:spacing w:before="10"/>
        <w:rPr>
          <w:b/>
          <w:sz w:val="15"/>
        </w:rPr>
      </w:pPr>
    </w:p>
    <w:p w:rsidR="00710269" w:rsidRDefault="00962999">
      <w:pPr>
        <w:pStyle w:val="ListParagraph"/>
        <w:numPr>
          <w:ilvl w:val="0"/>
          <w:numId w:val="3"/>
        </w:numPr>
        <w:tabs>
          <w:tab w:val="left" w:pos="660"/>
        </w:tabs>
        <w:spacing w:before="93"/>
        <w:rPr>
          <w:sz w:val="24"/>
        </w:rPr>
      </w:pPr>
      <w:r>
        <w:rPr>
          <w:sz w:val="24"/>
        </w:rPr>
        <w:t>Time Period for Continuing</w:t>
      </w:r>
      <w:r>
        <w:rPr>
          <w:spacing w:val="-1"/>
          <w:sz w:val="24"/>
        </w:rPr>
        <w:t xml:space="preserve"> </w:t>
      </w:r>
      <w:r>
        <w:rPr>
          <w:sz w:val="24"/>
        </w:rPr>
        <w:t>Review</w:t>
      </w:r>
    </w:p>
    <w:p w:rsidR="00710269" w:rsidRDefault="00962999">
      <w:pPr>
        <w:pStyle w:val="ListParagraph"/>
        <w:numPr>
          <w:ilvl w:val="1"/>
          <w:numId w:val="3"/>
        </w:numPr>
        <w:tabs>
          <w:tab w:val="left" w:pos="1380"/>
        </w:tabs>
        <w:ind w:right="750"/>
        <w:rPr>
          <w:sz w:val="24"/>
        </w:rPr>
      </w:pPr>
      <w:r>
        <w:rPr>
          <w:sz w:val="24"/>
        </w:rPr>
        <w:t>The IRB is responsible for determining the period for conducting continuing review of all research within its jurisdiction to ensure that the rights and welfare of human subjects are protected. Such reviews will occur as provided in this policy, but not le</w:t>
      </w:r>
      <w:r>
        <w:rPr>
          <w:sz w:val="24"/>
        </w:rPr>
        <w:t>ss than</w:t>
      </w:r>
      <w:r>
        <w:rPr>
          <w:spacing w:val="3"/>
          <w:sz w:val="24"/>
        </w:rPr>
        <w:t xml:space="preserve"> </w:t>
      </w:r>
      <w:r>
        <w:rPr>
          <w:sz w:val="24"/>
        </w:rPr>
        <w:t>annually.</w:t>
      </w:r>
    </w:p>
    <w:p w:rsidR="00710269" w:rsidRDefault="00962999">
      <w:pPr>
        <w:pStyle w:val="ListParagraph"/>
        <w:numPr>
          <w:ilvl w:val="1"/>
          <w:numId w:val="3"/>
        </w:numPr>
        <w:tabs>
          <w:tab w:val="left" w:pos="1380"/>
        </w:tabs>
        <w:ind w:right="269"/>
        <w:rPr>
          <w:sz w:val="24"/>
        </w:rPr>
      </w:pPr>
      <w:r>
        <w:rPr>
          <w:sz w:val="24"/>
        </w:rPr>
        <w:t>The IRB will determine the frequency of continuing review for each study during initial review and approval of the research. [See related PPMH policy “Initial Review”] The determination shall include identifying projects that require cont</w:t>
      </w:r>
      <w:r>
        <w:rPr>
          <w:sz w:val="24"/>
        </w:rPr>
        <w:t>inuing review more often than annually. Such determination may change at the time of continuing review due to new information, changes to the protocol, etc. The factors to consider when making these determinations include, but are not limited to:</w:t>
      </w:r>
    </w:p>
    <w:p w:rsidR="00710269" w:rsidRDefault="00962999">
      <w:pPr>
        <w:pStyle w:val="ListParagraph"/>
        <w:numPr>
          <w:ilvl w:val="2"/>
          <w:numId w:val="3"/>
        </w:numPr>
        <w:tabs>
          <w:tab w:val="left" w:pos="2100"/>
        </w:tabs>
        <w:spacing w:line="275" w:lineRule="exact"/>
        <w:jc w:val="left"/>
        <w:rPr>
          <w:sz w:val="24"/>
        </w:rPr>
      </w:pPr>
      <w:r>
        <w:rPr>
          <w:sz w:val="24"/>
        </w:rPr>
        <w:t>The natur</w:t>
      </w:r>
      <w:r>
        <w:rPr>
          <w:sz w:val="24"/>
        </w:rPr>
        <w:t>e of the</w:t>
      </w:r>
      <w:r>
        <w:rPr>
          <w:spacing w:val="-1"/>
          <w:sz w:val="24"/>
        </w:rPr>
        <w:t xml:space="preserve"> </w:t>
      </w:r>
      <w:r>
        <w:rPr>
          <w:sz w:val="24"/>
        </w:rPr>
        <w:t>study;</w:t>
      </w:r>
    </w:p>
    <w:p w:rsidR="00710269" w:rsidRDefault="00962999">
      <w:pPr>
        <w:pStyle w:val="ListParagraph"/>
        <w:numPr>
          <w:ilvl w:val="2"/>
          <w:numId w:val="3"/>
        </w:numPr>
        <w:tabs>
          <w:tab w:val="left" w:pos="2100"/>
        </w:tabs>
        <w:spacing w:line="275" w:lineRule="exact"/>
        <w:ind w:hanging="322"/>
        <w:jc w:val="left"/>
        <w:rPr>
          <w:sz w:val="24"/>
        </w:rPr>
      </w:pPr>
      <w:r>
        <w:rPr>
          <w:sz w:val="24"/>
        </w:rPr>
        <w:t>The degree of risk involved; and</w:t>
      </w:r>
    </w:p>
    <w:p w:rsidR="00710269" w:rsidRDefault="00962999">
      <w:pPr>
        <w:pStyle w:val="ListParagraph"/>
        <w:numPr>
          <w:ilvl w:val="2"/>
          <w:numId w:val="3"/>
        </w:numPr>
        <w:tabs>
          <w:tab w:val="left" w:pos="2100"/>
        </w:tabs>
        <w:spacing w:before="1" w:line="275" w:lineRule="exact"/>
        <w:ind w:hanging="366"/>
        <w:jc w:val="left"/>
        <w:rPr>
          <w:sz w:val="24"/>
        </w:rPr>
      </w:pPr>
      <w:r>
        <w:rPr>
          <w:sz w:val="24"/>
        </w:rPr>
        <w:t>The vulnerability of the subject</w:t>
      </w:r>
      <w:r>
        <w:rPr>
          <w:spacing w:val="-35"/>
          <w:sz w:val="24"/>
        </w:rPr>
        <w:t xml:space="preserve"> </w:t>
      </w:r>
      <w:r>
        <w:rPr>
          <w:sz w:val="24"/>
        </w:rPr>
        <w:t>population.</w:t>
      </w:r>
    </w:p>
    <w:p w:rsidR="00710269" w:rsidRDefault="00962999">
      <w:pPr>
        <w:pStyle w:val="ListParagraph"/>
        <w:numPr>
          <w:ilvl w:val="1"/>
          <w:numId w:val="3"/>
        </w:numPr>
        <w:tabs>
          <w:tab w:val="left" w:pos="1379"/>
          <w:tab w:val="left" w:pos="1380"/>
        </w:tabs>
        <w:ind w:right="359"/>
        <w:rPr>
          <w:sz w:val="24"/>
        </w:rPr>
      </w:pPr>
      <w:r>
        <w:rPr>
          <w:sz w:val="24"/>
        </w:rPr>
        <w:t>Continuing IRB review is required as long as the research remains active for long-term follow- up of subjects or where the remaining research activities are limit</w:t>
      </w:r>
      <w:r>
        <w:rPr>
          <w:sz w:val="24"/>
        </w:rPr>
        <w:t xml:space="preserve">ed to data analysis. However, continuing review may be conducted </w:t>
      </w:r>
      <w:r>
        <w:rPr>
          <w:sz w:val="24"/>
        </w:rPr>
        <w:lastRenderedPageBreak/>
        <w:t>using an expedited review process under certain circumstances. [See related PPMH policy “Expedited</w:t>
      </w:r>
      <w:r>
        <w:rPr>
          <w:spacing w:val="-9"/>
          <w:sz w:val="24"/>
        </w:rPr>
        <w:t xml:space="preserve"> </w:t>
      </w:r>
      <w:r>
        <w:rPr>
          <w:sz w:val="24"/>
        </w:rPr>
        <w:t>Review”]</w:t>
      </w:r>
    </w:p>
    <w:p w:rsidR="00710269" w:rsidRDefault="00710269">
      <w:pPr>
        <w:rPr>
          <w:sz w:val="24"/>
        </w:rPr>
        <w:sectPr w:rsidR="00710269">
          <w:footerReference w:type="default" r:id="rId7"/>
          <w:type w:val="continuous"/>
          <w:pgSz w:w="12240" w:h="15840"/>
          <w:pgMar w:top="1360" w:right="1220" w:bottom="1520" w:left="1140" w:header="720" w:footer="1338" w:gutter="0"/>
          <w:pgNumType w:start="1"/>
          <w:cols w:space="720"/>
        </w:sectPr>
      </w:pPr>
    </w:p>
    <w:p w:rsidR="00710269" w:rsidRDefault="00962999">
      <w:pPr>
        <w:pStyle w:val="ListParagraph"/>
        <w:numPr>
          <w:ilvl w:val="0"/>
          <w:numId w:val="3"/>
        </w:numPr>
        <w:tabs>
          <w:tab w:val="left" w:pos="660"/>
        </w:tabs>
        <w:spacing w:before="79" w:line="275" w:lineRule="exact"/>
        <w:rPr>
          <w:sz w:val="24"/>
        </w:rPr>
      </w:pPr>
      <w:r>
        <w:rPr>
          <w:sz w:val="24"/>
        </w:rPr>
        <w:lastRenderedPageBreak/>
        <w:t>Extensions of Approval</w:t>
      </w:r>
      <w:r>
        <w:rPr>
          <w:spacing w:val="1"/>
          <w:sz w:val="24"/>
        </w:rPr>
        <w:t xml:space="preserve"> </w:t>
      </w:r>
      <w:r>
        <w:rPr>
          <w:sz w:val="24"/>
        </w:rPr>
        <w:t>Period</w:t>
      </w:r>
    </w:p>
    <w:p w:rsidR="00710269" w:rsidRDefault="00962999">
      <w:pPr>
        <w:pStyle w:val="ListParagraph"/>
        <w:numPr>
          <w:ilvl w:val="1"/>
          <w:numId w:val="3"/>
        </w:numPr>
        <w:tabs>
          <w:tab w:val="left" w:pos="1380"/>
        </w:tabs>
        <w:ind w:right="1222"/>
        <w:rPr>
          <w:sz w:val="24"/>
        </w:rPr>
      </w:pPr>
      <w:r>
        <w:rPr>
          <w:sz w:val="24"/>
        </w:rPr>
        <w:t>The continuation of research after expiration of IRB appro</w:t>
      </w:r>
      <w:r>
        <w:rPr>
          <w:sz w:val="24"/>
        </w:rPr>
        <w:t>val is a violation of federal regulations. Extensions beyond the expiration date will not be</w:t>
      </w:r>
      <w:r>
        <w:rPr>
          <w:spacing w:val="-17"/>
          <w:sz w:val="24"/>
        </w:rPr>
        <w:t xml:space="preserve"> </w:t>
      </w:r>
      <w:r>
        <w:rPr>
          <w:sz w:val="24"/>
        </w:rPr>
        <w:t>granted.</w:t>
      </w:r>
    </w:p>
    <w:p w:rsidR="00710269" w:rsidRDefault="00962999">
      <w:pPr>
        <w:pStyle w:val="ListParagraph"/>
        <w:numPr>
          <w:ilvl w:val="1"/>
          <w:numId w:val="3"/>
        </w:numPr>
        <w:tabs>
          <w:tab w:val="left" w:pos="1380"/>
        </w:tabs>
        <w:ind w:right="291"/>
        <w:rPr>
          <w:sz w:val="24"/>
        </w:rPr>
      </w:pPr>
      <w:r>
        <w:rPr>
          <w:sz w:val="24"/>
        </w:rPr>
        <w:t>If the IRB has not reviewed and re-approved a research study by the study’s current expiration date, IRB approval has expired and research activities, inc</w:t>
      </w:r>
      <w:r>
        <w:rPr>
          <w:sz w:val="24"/>
        </w:rPr>
        <w:t>luding subject accrual, must cease. Continuation of research interventions or interactions with subjects already enrolled should only continue when the IRB finds that it is in the best interest of the subjects to do</w:t>
      </w:r>
      <w:r>
        <w:rPr>
          <w:spacing w:val="-32"/>
          <w:sz w:val="24"/>
        </w:rPr>
        <w:t xml:space="preserve"> </w:t>
      </w:r>
      <w:r>
        <w:rPr>
          <w:sz w:val="24"/>
        </w:rPr>
        <w:t>so.</w:t>
      </w:r>
    </w:p>
    <w:p w:rsidR="00710269" w:rsidRDefault="00710269">
      <w:pPr>
        <w:pStyle w:val="BodyText"/>
      </w:pPr>
    </w:p>
    <w:p w:rsidR="00710269" w:rsidRDefault="00962999">
      <w:pPr>
        <w:pStyle w:val="ListParagraph"/>
        <w:numPr>
          <w:ilvl w:val="0"/>
          <w:numId w:val="3"/>
        </w:numPr>
        <w:tabs>
          <w:tab w:val="left" w:pos="660"/>
        </w:tabs>
        <w:spacing w:before="1" w:line="275" w:lineRule="exact"/>
        <w:rPr>
          <w:sz w:val="24"/>
        </w:rPr>
      </w:pPr>
      <w:r>
        <w:rPr>
          <w:sz w:val="24"/>
        </w:rPr>
        <w:t>Criteria for Approval</w:t>
      </w:r>
    </w:p>
    <w:p w:rsidR="00710269" w:rsidRDefault="00962999">
      <w:pPr>
        <w:pStyle w:val="ListParagraph"/>
        <w:numPr>
          <w:ilvl w:val="1"/>
          <w:numId w:val="3"/>
        </w:numPr>
        <w:tabs>
          <w:tab w:val="left" w:pos="1380"/>
        </w:tabs>
        <w:ind w:right="467"/>
        <w:rPr>
          <w:sz w:val="24"/>
        </w:rPr>
      </w:pPr>
      <w:r>
        <w:rPr>
          <w:sz w:val="24"/>
        </w:rPr>
        <w:t>Continuing review must be substantive and meaningful. Review by the full board is required unless the research is otherwise appropriate for expedited review. Ordinarily, if research did not qualify for expedited review at the time of initial review, it doe</w:t>
      </w:r>
      <w:r>
        <w:rPr>
          <w:sz w:val="24"/>
        </w:rPr>
        <w:t>s not quality for expedited review at the time of continuing review. It is also possible that research activities that previously qualified for expedited review have changed or will change such that full board review is now required.</w:t>
      </w:r>
    </w:p>
    <w:p w:rsidR="00710269" w:rsidRDefault="00962999">
      <w:pPr>
        <w:pStyle w:val="ListParagraph"/>
        <w:numPr>
          <w:ilvl w:val="1"/>
          <w:numId w:val="3"/>
        </w:numPr>
        <w:tabs>
          <w:tab w:val="left" w:pos="1380"/>
        </w:tabs>
        <w:ind w:right="293"/>
        <w:rPr>
          <w:sz w:val="24"/>
        </w:rPr>
      </w:pPr>
      <w:r>
        <w:rPr>
          <w:sz w:val="24"/>
        </w:rPr>
        <w:t>When</w:t>
      </w:r>
      <w:r>
        <w:rPr>
          <w:spacing w:val="-4"/>
          <w:sz w:val="24"/>
        </w:rPr>
        <w:t xml:space="preserve"> </w:t>
      </w:r>
      <w:r>
        <w:rPr>
          <w:sz w:val="24"/>
        </w:rPr>
        <w:t>considering</w:t>
      </w:r>
      <w:r>
        <w:rPr>
          <w:spacing w:val="-4"/>
          <w:sz w:val="24"/>
        </w:rPr>
        <w:t xml:space="preserve"> </w:t>
      </w:r>
      <w:r>
        <w:rPr>
          <w:sz w:val="24"/>
        </w:rPr>
        <w:t>wheth</w:t>
      </w:r>
      <w:r>
        <w:rPr>
          <w:sz w:val="24"/>
        </w:rPr>
        <w:t>er</w:t>
      </w:r>
      <w:r>
        <w:rPr>
          <w:spacing w:val="-2"/>
          <w:sz w:val="24"/>
        </w:rPr>
        <w:t xml:space="preserve"> </w:t>
      </w:r>
      <w:r>
        <w:rPr>
          <w:sz w:val="24"/>
        </w:rPr>
        <w:t>or</w:t>
      </w:r>
      <w:r>
        <w:rPr>
          <w:spacing w:val="-3"/>
          <w:sz w:val="24"/>
        </w:rPr>
        <w:t xml:space="preserve"> </w:t>
      </w:r>
      <w:r>
        <w:rPr>
          <w:sz w:val="24"/>
        </w:rPr>
        <w:t>not</w:t>
      </w:r>
      <w:r>
        <w:rPr>
          <w:spacing w:val="-5"/>
          <w:sz w:val="24"/>
        </w:rPr>
        <w:t xml:space="preserve"> </w:t>
      </w:r>
      <w:r>
        <w:rPr>
          <w:sz w:val="24"/>
        </w:rPr>
        <w:t>to</w:t>
      </w:r>
      <w:r>
        <w:rPr>
          <w:spacing w:val="-4"/>
          <w:sz w:val="24"/>
        </w:rPr>
        <w:t xml:space="preserve"> </w:t>
      </w:r>
      <w:r>
        <w:rPr>
          <w:sz w:val="24"/>
        </w:rPr>
        <w:t>approve</w:t>
      </w:r>
      <w:r>
        <w:rPr>
          <w:spacing w:val="-3"/>
          <w:sz w:val="24"/>
        </w:rPr>
        <w:t xml:space="preserve"> </w:t>
      </w:r>
      <w:r>
        <w:rPr>
          <w:sz w:val="24"/>
        </w:rPr>
        <w:t>a</w:t>
      </w:r>
      <w:r>
        <w:rPr>
          <w:spacing w:val="-4"/>
          <w:sz w:val="24"/>
        </w:rPr>
        <w:t xml:space="preserve"> </w:t>
      </w:r>
      <w:r>
        <w:rPr>
          <w:sz w:val="24"/>
        </w:rPr>
        <w:t>study,</w:t>
      </w:r>
      <w:r>
        <w:rPr>
          <w:spacing w:val="-4"/>
          <w:sz w:val="24"/>
        </w:rPr>
        <w:t xml:space="preserve"> </w:t>
      </w:r>
      <w:r>
        <w:rPr>
          <w:sz w:val="24"/>
        </w:rPr>
        <w:t>the</w:t>
      </w:r>
      <w:r>
        <w:rPr>
          <w:spacing w:val="-3"/>
          <w:sz w:val="24"/>
        </w:rPr>
        <w:t xml:space="preserve"> </w:t>
      </w:r>
      <w:r>
        <w:rPr>
          <w:sz w:val="24"/>
        </w:rPr>
        <w:t>IRB</w:t>
      </w:r>
      <w:r>
        <w:rPr>
          <w:spacing w:val="-4"/>
          <w:sz w:val="24"/>
        </w:rPr>
        <w:t xml:space="preserve"> </w:t>
      </w:r>
      <w:r>
        <w:rPr>
          <w:sz w:val="24"/>
        </w:rPr>
        <w:t>revisits</w:t>
      </w:r>
      <w:r>
        <w:rPr>
          <w:spacing w:val="-4"/>
          <w:sz w:val="24"/>
        </w:rPr>
        <w:t xml:space="preserve"> </w:t>
      </w:r>
      <w:r>
        <w:rPr>
          <w:sz w:val="24"/>
        </w:rPr>
        <w:t>the</w:t>
      </w:r>
      <w:r>
        <w:rPr>
          <w:spacing w:val="-3"/>
          <w:sz w:val="24"/>
        </w:rPr>
        <w:t xml:space="preserve"> </w:t>
      </w:r>
      <w:r>
        <w:rPr>
          <w:sz w:val="24"/>
        </w:rPr>
        <w:t>same</w:t>
      </w:r>
      <w:r>
        <w:rPr>
          <w:spacing w:val="-4"/>
          <w:sz w:val="24"/>
        </w:rPr>
        <w:t xml:space="preserve"> </w:t>
      </w:r>
      <w:r>
        <w:rPr>
          <w:sz w:val="24"/>
        </w:rPr>
        <w:t>criteria</w:t>
      </w:r>
      <w:r>
        <w:rPr>
          <w:spacing w:val="-4"/>
          <w:sz w:val="24"/>
        </w:rPr>
        <w:t xml:space="preserve"> </w:t>
      </w:r>
      <w:r>
        <w:rPr>
          <w:sz w:val="24"/>
        </w:rPr>
        <w:t>used</w:t>
      </w:r>
      <w:r>
        <w:rPr>
          <w:spacing w:val="-3"/>
          <w:sz w:val="24"/>
        </w:rPr>
        <w:t xml:space="preserve"> </w:t>
      </w:r>
      <w:r>
        <w:rPr>
          <w:sz w:val="24"/>
        </w:rPr>
        <w:t>to grant initial approval. Therefore, the IRB must determine</w:t>
      </w:r>
      <w:r>
        <w:rPr>
          <w:spacing w:val="-9"/>
          <w:sz w:val="24"/>
        </w:rPr>
        <w:t xml:space="preserve"> </w:t>
      </w:r>
      <w:r>
        <w:rPr>
          <w:sz w:val="24"/>
        </w:rPr>
        <w:t>that:</w:t>
      </w:r>
    </w:p>
    <w:p w:rsidR="00710269" w:rsidRDefault="00962999">
      <w:pPr>
        <w:pStyle w:val="ListParagraph"/>
        <w:numPr>
          <w:ilvl w:val="2"/>
          <w:numId w:val="3"/>
        </w:numPr>
        <w:tabs>
          <w:tab w:val="left" w:pos="2100"/>
        </w:tabs>
        <w:ind w:right="886"/>
        <w:jc w:val="left"/>
        <w:rPr>
          <w:sz w:val="24"/>
        </w:rPr>
      </w:pPr>
      <w:r>
        <w:rPr>
          <w:sz w:val="24"/>
        </w:rPr>
        <w:t>The</w:t>
      </w:r>
      <w:r>
        <w:rPr>
          <w:spacing w:val="-4"/>
          <w:sz w:val="24"/>
        </w:rPr>
        <w:t xml:space="preserve"> </w:t>
      </w:r>
      <w:r>
        <w:rPr>
          <w:sz w:val="24"/>
        </w:rPr>
        <w:t>risks</w:t>
      </w:r>
      <w:r>
        <w:rPr>
          <w:spacing w:val="-4"/>
          <w:sz w:val="24"/>
        </w:rPr>
        <w:t xml:space="preserve"> </w:t>
      </w:r>
      <w:r>
        <w:rPr>
          <w:sz w:val="24"/>
        </w:rPr>
        <w:t>to</w:t>
      </w:r>
      <w:r>
        <w:rPr>
          <w:spacing w:val="-4"/>
          <w:sz w:val="24"/>
        </w:rPr>
        <w:t xml:space="preserve"> </w:t>
      </w:r>
      <w:r>
        <w:rPr>
          <w:sz w:val="24"/>
        </w:rPr>
        <w:t>subjects</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minimized</w:t>
      </w:r>
      <w:r>
        <w:rPr>
          <w:spacing w:val="-4"/>
          <w:sz w:val="24"/>
        </w:rPr>
        <w:t xml:space="preserve"> </w:t>
      </w:r>
      <w:r>
        <w:rPr>
          <w:sz w:val="24"/>
        </w:rPr>
        <w:t>and</w:t>
      </w:r>
      <w:r>
        <w:rPr>
          <w:spacing w:val="-4"/>
          <w:sz w:val="24"/>
        </w:rPr>
        <w:t xml:space="preserve"> </w:t>
      </w:r>
      <w:r>
        <w:rPr>
          <w:sz w:val="24"/>
        </w:rPr>
        <w:t>reasonable</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4"/>
          <w:sz w:val="24"/>
        </w:rPr>
        <w:t xml:space="preserve"> </w:t>
      </w:r>
      <w:r>
        <w:rPr>
          <w:sz w:val="24"/>
        </w:rPr>
        <w:t>the anticipated</w:t>
      </w:r>
      <w:r>
        <w:rPr>
          <w:spacing w:val="-1"/>
          <w:sz w:val="24"/>
        </w:rPr>
        <w:t xml:space="preserve"> </w:t>
      </w:r>
      <w:r>
        <w:rPr>
          <w:sz w:val="24"/>
        </w:rPr>
        <w:t>benefits;</w:t>
      </w:r>
    </w:p>
    <w:p w:rsidR="00710269" w:rsidRDefault="00962999">
      <w:pPr>
        <w:pStyle w:val="ListParagraph"/>
        <w:numPr>
          <w:ilvl w:val="2"/>
          <w:numId w:val="3"/>
        </w:numPr>
        <w:tabs>
          <w:tab w:val="left" w:pos="2100"/>
        </w:tabs>
        <w:ind w:hanging="322"/>
        <w:jc w:val="left"/>
        <w:rPr>
          <w:sz w:val="24"/>
        </w:rPr>
      </w:pPr>
      <w:r>
        <w:rPr>
          <w:sz w:val="24"/>
        </w:rPr>
        <w:t>The selection of subjects continues to be</w:t>
      </w:r>
      <w:r>
        <w:rPr>
          <w:spacing w:val="-4"/>
          <w:sz w:val="24"/>
        </w:rPr>
        <w:t xml:space="preserve"> </w:t>
      </w:r>
      <w:r>
        <w:rPr>
          <w:sz w:val="24"/>
        </w:rPr>
        <w:t>equitable;</w:t>
      </w:r>
    </w:p>
    <w:p w:rsidR="00710269" w:rsidRDefault="00962999">
      <w:pPr>
        <w:pStyle w:val="ListParagraph"/>
        <w:numPr>
          <w:ilvl w:val="2"/>
          <w:numId w:val="3"/>
        </w:numPr>
        <w:tabs>
          <w:tab w:val="left" w:pos="2100"/>
        </w:tabs>
        <w:spacing w:line="275" w:lineRule="exact"/>
        <w:ind w:hanging="366"/>
        <w:jc w:val="left"/>
        <w:rPr>
          <w:sz w:val="24"/>
        </w:rPr>
      </w:pPr>
      <w:r>
        <w:rPr>
          <w:sz w:val="24"/>
        </w:rPr>
        <w:t>Informed consent continues to be documented</w:t>
      </w:r>
      <w:r>
        <w:rPr>
          <w:spacing w:val="-6"/>
          <w:sz w:val="24"/>
        </w:rPr>
        <w:t xml:space="preserve"> </w:t>
      </w:r>
      <w:r>
        <w:rPr>
          <w:sz w:val="24"/>
        </w:rPr>
        <w:t>appropriately;</w:t>
      </w:r>
    </w:p>
    <w:p w:rsidR="00710269" w:rsidRDefault="00962999">
      <w:pPr>
        <w:pStyle w:val="ListParagraph"/>
        <w:numPr>
          <w:ilvl w:val="2"/>
          <w:numId w:val="3"/>
        </w:numPr>
        <w:tabs>
          <w:tab w:val="left" w:pos="2100"/>
        </w:tabs>
        <w:spacing w:line="275" w:lineRule="exact"/>
        <w:ind w:hanging="377"/>
        <w:jc w:val="left"/>
        <w:rPr>
          <w:sz w:val="24"/>
        </w:rPr>
      </w:pPr>
      <w:r>
        <w:rPr>
          <w:sz w:val="24"/>
        </w:rPr>
        <w:t>Adequate provisions for monitoring the</w:t>
      </w:r>
      <w:r>
        <w:rPr>
          <w:spacing w:val="-3"/>
          <w:sz w:val="24"/>
        </w:rPr>
        <w:t xml:space="preserve"> </w:t>
      </w:r>
      <w:r>
        <w:rPr>
          <w:sz w:val="24"/>
        </w:rPr>
        <w:t>data;</w:t>
      </w:r>
    </w:p>
    <w:p w:rsidR="00710269" w:rsidRDefault="00962999">
      <w:pPr>
        <w:pStyle w:val="ListParagraph"/>
        <w:numPr>
          <w:ilvl w:val="2"/>
          <w:numId w:val="3"/>
        </w:numPr>
        <w:tabs>
          <w:tab w:val="left" w:pos="2100"/>
        </w:tabs>
        <w:spacing w:before="1"/>
        <w:ind w:right="447" w:hanging="334"/>
        <w:jc w:val="left"/>
        <w:rPr>
          <w:sz w:val="24"/>
        </w:rPr>
      </w:pPr>
      <w:r>
        <w:rPr>
          <w:sz w:val="24"/>
        </w:rPr>
        <w:t>Adequate</w:t>
      </w:r>
      <w:r>
        <w:rPr>
          <w:spacing w:val="-5"/>
          <w:sz w:val="24"/>
        </w:rPr>
        <w:t xml:space="preserve"> </w:t>
      </w:r>
      <w:r>
        <w:rPr>
          <w:sz w:val="24"/>
        </w:rPr>
        <w:t>provisions</w:t>
      </w:r>
      <w:r>
        <w:rPr>
          <w:spacing w:val="-5"/>
          <w:sz w:val="24"/>
        </w:rPr>
        <w:t xml:space="preserve"> </w:t>
      </w:r>
      <w:r>
        <w:rPr>
          <w:sz w:val="24"/>
        </w:rPr>
        <w:t>to</w:t>
      </w:r>
      <w:r>
        <w:rPr>
          <w:spacing w:val="-5"/>
          <w:sz w:val="24"/>
        </w:rPr>
        <w:t xml:space="preserve"> </w:t>
      </w:r>
      <w:r>
        <w:rPr>
          <w:sz w:val="24"/>
        </w:rPr>
        <w:t>protect</w:t>
      </w:r>
      <w:r>
        <w:rPr>
          <w:spacing w:val="-5"/>
          <w:sz w:val="24"/>
        </w:rPr>
        <w:t xml:space="preserve"> </w:t>
      </w:r>
      <w:r>
        <w:rPr>
          <w:sz w:val="24"/>
        </w:rPr>
        <w:t>the</w:t>
      </w:r>
      <w:r>
        <w:rPr>
          <w:spacing w:val="-5"/>
          <w:sz w:val="24"/>
        </w:rPr>
        <w:t xml:space="preserve"> </w:t>
      </w:r>
      <w:r>
        <w:rPr>
          <w:sz w:val="24"/>
        </w:rPr>
        <w:t>privacy</w:t>
      </w:r>
      <w:r>
        <w:rPr>
          <w:spacing w:val="-5"/>
          <w:sz w:val="24"/>
        </w:rPr>
        <w:t xml:space="preserve"> </w:t>
      </w:r>
      <w:r>
        <w:rPr>
          <w:sz w:val="24"/>
        </w:rPr>
        <w:t>of</w:t>
      </w:r>
      <w:r>
        <w:rPr>
          <w:spacing w:val="-5"/>
          <w:sz w:val="24"/>
        </w:rPr>
        <w:t xml:space="preserve"> </w:t>
      </w:r>
      <w:r>
        <w:rPr>
          <w:sz w:val="24"/>
        </w:rPr>
        <w:t>subjects</w:t>
      </w:r>
      <w:r>
        <w:rPr>
          <w:spacing w:val="-4"/>
          <w:sz w:val="24"/>
        </w:rPr>
        <w:t xml:space="preserve"> </w:t>
      </w:r>
      <w:r>
        <w:rPr>
          <w:sz w:val="24"/>
        </w:rPr>
        <w:t>and</w:t>
      </w:r>
      <w:r>
        <w:rPr>
          <w:spacing w:val="-5"/>
          <w:sz w:val="24"/>
        </w:rPr>
        <w:t xml:space="preserve"> </w:t>
      </w:r>
      <w:r>
        <w:rPr>
          <w:sz w:val="24"/>
        </w:rPr>
        <w:t>confidentiality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data; and</w:t>
      </w:r>
    </w:p>
    <w:p w:rsidR="00710269" w:rsidRDefault="00962999">
      <w:pPr>
        <w:pStyle w:val="ListParagraph"/>
        <w:numPr>
          <w:ilvl w:val="2"/>
          <w:numId w:val="3"/>
        </w:numPr>
        <w:tabs>
          <w:tab w:val="left" w:pos="2100"/>
        </w:tabs>
        <w:ind w:hanging="377"/>
        <w:jc w:val="left"/>
        <w:rPr>
          <w:sz w:val="24"/>
        </w:rPr>
      </w:pPr>
      <w:r>
        <w:rPr>
          <w:sz w:val="24"/>
        </w:rPr>
        <w:t>Appropr</w:t>
      </w:r>
      <w:r>
        <w:rPr>
          <w:sz w:val="24"/>
        </w:rPr>
        <w:t>iate additional safeguards for vulnerable</w:t>
      </w:r>
      <w:r>
        <w:rPr>
          <w:spacing w:val="-3"/>
          <w:sz w:val="24"/>
        </w:rPr>
        <w:t xml:space="preserve"> </w:t>
      </w:r>
      <w:r>
        <w:rPr>
          <w:sz w:val="24"/>
        </w:rPr>
        <w:t>populations.</w:t>
      </w:r>
    </w:p>
    <w:p w:rsidR="00710269" w:rsidRDefault="00710269">
      <w:pPr>
        <w:pStyle w:val="BodyText"/>
        <w:spacing w:before="11"/>
        <w:rPr>
          <w:sz w:val="23"/>
        </w:rPr>
      </w:pPr>
    </w:p>
    <w:p w:rsidR="00710269" w:rsidRDefault="00962999">
      <w:pPr>
        <w:pStyle w:val="ListParagraph"/>
        <w:numPr>
          <w:ilvl w:val="0"/>
          <w:numId w:val="3"/>
        </w:numPr>
        <w:tabs>
          <w:tab w:val="left" w:pos="660"/>
        </w:tabs>
        <w:spacing w:line="275" w:lineRule="exact"/>
        <w:rPr>
          <w:sz w:val="24"/>
        </w:rPr>
      </w:pPr>
      <w:r>
        <w:rPr>
          <w:sz w:val="24"/>
        </w:rPr>
        <w:t>Additional</w:t>
      </w:r>
      <w:r>
        <w:rPr>
          <w:spacing w:val="-1"/>
          <w:sz w:val="24"/>
        </w:rPr>
        <w:t xml:space="preserve"> </w:t>
      </w:r>
      <w:r>
        <w:rPr>
          <w:sz w:val="24"/>
        </w:rPr>
        <w:t>Criteria</w:t>
      </w:r>
    </w:p>
    <w:p w:rsidR="00710269" w:rsidRDefault="00962999">
      <w:pPr>
        <w:pStyle w:val="ListParagraph"/>
        <w:numPr>
          <w:ilvl w:val="1"/>
          <w:numId w:val="3"/>
        </w:numPr>
        <w:tabs>
          <w:tab w:val="left" w:pos="1380"/>
        </w:tabs>
        <w:ind w:right="708"/>
        <w:rPr>
          <w:sz w:val="24"/>
        </w:rPr>
      </w:pPr>
      <w:r>
        <w:rPr>
          <w:sz w:val="24"/>
        </w:rPr>
        <w:t>Research studies may require verification from sources other than the investigator that no material changes have occurred since previous IRB review. To determine when further verification is needed, the IRB will</w:t>
      </w:r>
      <w:r>
        <w:rPr>
          <w:spacing w:val="-3"/>
          <w:sz w:val="24"/>
        </w:rPr>
        <w:t xml:space="preserve"> </w:t>
      </w:r>
      <w:r>
        <w:rPr>
          <w:sz w:val="24"/>
        </w:rPr>
        <w:t>consider:</w:t>
      </w:r>
    </w:p>
    <w:p w:rsidR="00710269" w:rsidRDefault="00962999">
      <w:pPr>
        <w:pStyle w:val="ListParagraph"/>
        <w:numPr>
          <w:ilvl w:val="2"/>
          <w:numId w:val="3"/>
        </w:numPr>
        <w:tabs>
          <w:tab w:val="left" w:pos="2100"/>
        </w:tabs>
        <w:spacing w:line="275" w:lineRule="exact"/>
        <w:jc w:val="left"/>
        <w:rPr>
          <w:sz w:val="24"/>
        </w:rPr>
      </w:pPr>
      <w:r>
        <w:rPr>
          <w:sz w:val="24"/>
        </w:rPr>
        <w:t>The probability and magnitude of a</w:t>
      </w:r>
      <w:r>
        <w:rPr>
          <w:sz w:val="24"/>
        </w:rPr>
        <w:t>nticipated risks to</w:t>
      </w:r>
      <w:r>
        <w:rPr>
          <w:spacing w:val="-7"/>
          <w:sz w:val="24"/>
        </w:rPr>
        <w:t xml:space="preserve"> </w:t>
      </w:r>
      <w:r>
        <w:rPr>
          <w:sz w:val="24"/>
        </w:rPr>
        <w:t>subjects;</w:t>
      </w:r>
    </w:p>
    <w:p w:rsidR="00710269" w:rsidRDefault="00962999">
      <w:pPr>
        <w:pStyle w:val="ListParagraph"/>
        <w:numPr>
          <w:ilvl w:val="2"/>
          <w:numId w:val="3"/>
        </w:numPr>
        <w:tabs>
          <w:tab w:val="left" w:pos="2100"/>
        </w:tabs>
        <w:spacing w:line="275" w:lineRule="exact"/>
        <w:ind w:hanging="322"/>
        <w:jc w:val="left"/>
        <w:rPr>
          <w:sz w:val="24"/>
        </w:rPr>
      </w:pPr>
      <w:r>
        <w:rPr>
          <w:sz w:val="24"/>
        </w:rPr>
        <w:t>The likely medical condition of the proposed</w:t>
      </w:r>
      <w:r>
        <w:rPr>
          <w:spacing w:val="-5"/>
          <w:sz w:val="24"/>
        </w:rPr>
        <w:t xml:space="preserve"> </w:t>
      </w:r>
      <w:r>
        <w:rPr>
          <w:sz w:val="24"/>
        </w:rPr>
        <w:t>subjects;</w:t>
      </w:r>
    </w:p>
    <w:p w:rsidR="00710269" w:rsidRDefault="00962999">
      <w:pPr>
        <w:pStyle w:val="ListParagraph"/>
        <w:numPr>
          <w:ilvl w:val="2"/>
          <w:numId w:val="3"/>
        </w:numPr>
        <w:tabs>
          <w:tab w:val="left" w:pos="2100"/>
        </w:tabs>
        <w:spacing w:before="1" w:line="275" w:lineRule="exact"/>
        <w:ind w:hanging="366"/>
        <w:jc w:val="left"/>
        <w:rPr>
          <w:sz w:val="24"/>
        </w:rPr>
      </w:pPr>
      <w:r>
        <w:rPr>
          <w:sz w:val="24"/>
        </w:rPr>
        <w:t>Prior experience with the principal investigator and research</w:t>
      </w:r>
      <w:r>
        <w:rPr>
          <w:spacing w:val="-9"/>
          <w:sz w:val="24"/>
        </w:rPr>
        <w:t xml:space="preserve"> </w:t>
      </w:r>
      <w:r>
        <w:rPr>
          <w:sz w:val="24"/>
        </w:rPr>
        <w:t>team;</w:t>
      </w:r>
    </w:p>
    <w:p w:rsidR="00710269" w:rsidRDefault="00962999">
      <w:pPr>
        <w:pStyle w:val="ListParagraph"/>
        <w:numPr>
          <w:ilvl w:val="2"/>
          <w:numId w:val="3"/>
        </w:numPr>
        <w:tabs>
          <w:tab w:val="left" w:pos="2100"/>
        </w:tabs>
        <w:ind w:right="359" w:hanging="377"/>
        <w:jc w:val="left"/>
        <w:rPr>
          <w:sz w:val="24"/>
        </w:rPr>
      </w:pPr>
      <w:r>
        <w:rPr>
          <w:sz w:val="24"/>
        </w:rPr>
        <w:t>The probable nature and frequency of changes that may ordinarily be expected in the type of research pr</w:t>
      </w:r>
      <w:r>
        <w:rPr>
          <w:sz w:val="24"/>
        </w:rPr>
        <w:t>oposed;</w:t>
      </w:r>
      <w:r>
        <w:rPr>
          <w:spacing w:val="-1"/>
          <w:sz w:val="24"/>
        </w:rPr>
        <w:t xml:space="preserve"> </w:t>
      </w:r>
      <w:r>
        <w:rPr>
          <w:sz w:val="24"/>
        </w:rPr>
        <w:t>and</w:t>
      </w:r>
    </w:p>
    <w:p w:rsidR="00710269" w:rsidRDefault="00962999">
      <w:pPr>
        <w:pStyle w:val="ListParagraph"/>
        <w:numPr>
          <w:ilvl w:val="2"/>
          <w:numId w:val="3"/>
        </w:numPr>
        <w:tabs>
          <w:tab w:val="left" w:pos="2100"/>
        </w:tabs>
        <w:ind w:hanging="334"/>
        <w:jc w:val="left"/>
        <w:rPr>
          <w:sz w:val="24"/>
        </w:rPr>
      </w:pPr>
      <w:r>
        <w:rPr>
          <w:sz w:val="24"/>
        </w:rPr>
        <w:t>Any other factors the IRB deems</w:t>
      </w:r>
      <w:r>
        <w:rPr>
          <w:spacing w:val="-3"/>
          <w:sz w:val="24"/>
        </w:rPr>
        <w:t xml:space="preserve"> </w:t>
      </w:r>
      <w:r>
        <w:rPr>
          <w:sz w:val="24"/>
        </w:rPr>
        <w:t>relevant.</w:t>
      </w:r>
    </w:p>
    <w:p w:rsidR="00710269" w:rsidRDefault="00962999">
      <w:pPr>
        <w:pStyle w:val="ListParagraph"/>
        <w:numPr>
          <w:ilvl w:val="1"/>
          <w:numId w:val="3"/>
        </w:numPr>
        <w:tabs>
          <w:tab w:val="left" w:pos="1380"/>
        </w:tabs>
        <w:ind w:right="369"/>
        <w:rPr>
          <w:sz w:val="24"/>
        </w:rPr>
      </w:pPr>
      <w:r>
        <w:rPr>
          <w:sz w:val="24"/>
        </w:rPr>
        <w:t>In making determinations about independent verification, the IRB may prospectively require that</w:t>
      </w:r>
      <w:r>
        <w:rPr>
          <w:spacing w:val="-5"/>
          <w:sz w:val="24"/>
        </w:rPr>
        <w:t xml:space="preserve"> </w:t>
      </w:r>
      <w:r>
        <w:rPr>
          <w:sz w:val="24"/>
        </w:rPr>
        <w:t>such</w:t>
      </w:r>
      <w:r>
        <w:rPr>
          <w:spacing w:val="-5"/>
          <w:sz w:val="24"/>
        </w:rPr>
        <w:t xml:space="preserve"> </w:t>
      </w:r>
      <w:r>
        <w:rPr>
          <w:sz w:val="24"/>
        </w:rPr>
        <w:t>verification</w:t>
      </w:r>
      <w:r>
        <w:rPr>
          <w:spacing w:val="-5"/>
          <w:sz w:val="24"/>
        </w:rPr>
        <w:t xml:space="preserve"> </w:t>
      </w:r>
      <w:r>
        <w:rPr>
          <w:sz w:val="24"/>
        </w:rPr>
        <w:t>take</w:t>
      </w:r>
      <w:r>
        <w:rPr>
          <w:spacing w:val="-5"/>
          <w:sz w:val="24"/>
        </w:rPr>
        <w:t xml:space="preserve"> </w:t>
      </w:r>
      <w:r>
        <w:rPr>
          <w:sz w:val="24"/>
        </w:rPr>
        <w:t>place</w:t>
      </w:r>
      <w:r>
        <w:rPr>
          <w:spacing w:val="-5"/>
          <w:sz w:val="24"/>
        </w:rPr>
        <w:t xml:space="preserve"> </w:t>
      </w:r>
      <w:r>
        <w:rPr>
          <w:sz w:val="24"/>
        </w:rPr>
        <w:t>at</w:t>
      </w:r>
      <w:r>
        <w:rPr>
          <w:spacing w:val="-5"/>
          <w:sz w:val="24"/>
        </w:rPr>
        <w:t xml:space="preserve"> </w:t>
      </w:r>
      <w:r>
        <w:rPr>
          <w:sz w:val="24"/>
        </w:rPr>
        <w:t>predetermined</w:t>
      </w:r>
      <w:r>
        <w:rPr>
          <w:spacing w:val="-5"/>
          <w:sz w:val="24"/>
        </w:rPr>
        <w:t xml:space="preserve"> </w:t>
      </w:r>
      <w:r>
        <w:rPr>
          <w:sz w:val="24"/>
        </w:rPr>
        <w:t>intervals</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approval</w:t>
      </w:r>
      <w:r>
        <w:rPr>
          <w:spacing w:val="-5"/>
          <w:sz w:val="24"/>
        </w:rPr>
        <w:t xml:space="preserve"> </w:t>
      </w:r>
      <w:r>
        <w:rPr>
          <w:sz w:val="24"/>
        </w:rPr>
        <w:t>period,</w:t>
      </w:r>
      <w:r>
        <w:rPr>
          <w:spacing w:val="-5"/>
          <w:sz w:val="24"/>
        </w:rPr>
        <w:t xml:space="preserve"> </w:t>
      </w:r>
      <w:r>
        <w:rPr>
          <w:sz w:val="24"/>
        </w:rPr>
        <w:t>or</w:t>
      </w:r>
      <w:r>
        <w:rPr>
          <w:spacing w:val="-5"/>
          <w:sz w:val="24"/>
        </w:rPr>
        <w:t xml:space="preserve"> </w:t>
      </w:r>
      <w:r>
        <w:rPr>
          <w:sz w:val="24"/>
        </w:rPr>
        <w:t>may retrospectively</w:t>
      </w:r>
      <w:r>
        <w:rPr>
          <w:sz w:val="24"/>
        </w:rPr>
        <w:t xml:space="preserve"> require such verification at the time of continuing</w:t>
      </w:r>
      <w:r>
        <w:rPr>
          <w:spacing w:val="-6"/>
          <w:sz w:val="24"/>
        </w:rPr>
        <w:t xml:space="preserve"> </w:t>
      </w:r>
      <w:r>
        <w:rPr>
          <w:sz w:val="24"/>
        </w:rPr>
        <w:t>review.</w:t>
      </w:r>
    </w:p>
    <w:p w:rsidR="00710269" w:rsidRDefault="00710269">
      <w:pPr>
        <w:pStyle w:val="BodyText"/>
      </w:pPr>
    </w:p>
    <w:p w:rsidR="00710269" w:rsidRDefault="00962999">
      <w:pPr>
        <w:pStyle w:val="ListParagraph"/>
        <w:numPr>
          <w:ilvl w:val="0"/>
          <w:numId w:val="3"/>
        </w:numPr>
        <w:tabs>
          <w:tab w:val="left" w:pos="660"/>
        </w:tabs>
        <w:spacing w:line="275" w:lineRule="exact"/>
        <w:rPr>
          <w:sz w:val="24"/>
        </w:rPr>
      </w:pPr>
      <w:r>
        <w:rPr>
          <w:sz w:val="24"/>
        </w:rPr>
        <w:t>IRB Review</w:t>
      </w:r>
      <w:r>
        <w:rPr>
          <w:spacing w:val="-1"/>
          <w:sz w:val="24"/>
        </w:rPr>
        <w:t xml:space="preserve"> </w:t>
      </w:r>
      <w:r>
        <w:rPr>
          <w:sz w:val="24"/>
        </w:rPr>
        <w:t>System</w:t>
      </w:r>
    </w:p>
    <w:p w:rsidR="00710269" w:rsidRDefault="00962999">
      <w:pPr>
        <w:pStyle w:val="ListParagraph"/>
        <w:numPr>
          <w:ilvl w:val="1"/>
          <w:numId w:val="3"/>
        </w:numPr>
        <w:tabs>
          <w:tab w:val="left" w:pos="1380"/>
        </w:tabs>
        <w:ind w:right="633"/>
        <w:rPr>
          <w:sz w:val="24"/>
        </w:rPr>
      </w:pPr>
      <w:r>
        <w:rPr>
          <w:sz w:val="24"/>
        </w:rPr>
        <w:t>IRB</w:t>
      </w:r>
      <w:r>
        <w:rPr>
          <w:spacing w:val="-5"/>
          <w:sz w:val="24"/>
        </w:rPr>
        <w:t xml:space="preserve"> </w:t>
      </w:r>
      <w:r>
        <w:rPr>
          <w:sz w:val="24"/>
        </w:rPr>
        <w:t>members</w:t>
      </w:r>
      <w:r>
        <w:rPr>
          <w:spacing w:val="-4"/>
          <w:sz w:val="24"/>
        </w:rPr>
        <w:t xml:space="preserve"> </w:t>
      </w:r>
      <w:r>
        <w:rPr>
          <w:sz w:val="24"/>
        </w:rPr>
        <w:t>will</w:t>
      </w:r>
      <w:r>
        <w:rPr>
          <w:spacing w:val="-4"/>
          <w:sz w:val="24"/>
        </w:rPr>
        <w:t xml:space="preserve"> </w:t>
      </w:r>
      <w:r>
        <w:rPr>
          <w:sz w:val="24"/>
        </w:rPr>
        <w:t>receive</w:t>
      </w:r>
      <w:r>
        <w:rPr>
          <w:spacing w:val="-4"/>
          <w:sz w:val="24"/>
        </w:rPr>
        <w:t xml:space="preserve"> </w:t>
      </w:r>
      <w:r>
        <w:rPr>
          <w:sz w:val="24"/>
        </w:rPr>
        <w:t>a</w:t>
      </w:r>
      <w:r>
        <w:rPr>
          <w:spacing w:val="-4"/>
          <w:sz w:val="24"/>
        </w:rPr>
        <w:t xml:space="preserve"> </w:t>
      </w:r>
      <w:r>
        <w:rPr>
          <w:sz w:val="24"/>
        </w:rPr>
        <w:t>copy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complete</w:t>
      </w:r>
      <w:r>
        <w:rPr>
          <w:spacing w:val="-4"/>
          <w:sz w:val="24"/>
        </w:rPr>
        <w:t xml:space="preserve"> </w:t>
      </w:r>
      <w:r>
        <w:rPr>
          <w:sz w:val="24"/>
        </w:rPr>
        <w:t>protocol</w:t>
      </w:r>
      <w:r>
        <w:rPr>
          <w:spacing w:val="-4"/>
          <w:sz w:val="24"/>
        </w:rPr>
        <w:t xml:space="preserve"> </w:t>
      </w:r>
      <w:r>
        <w:rPr>
          <w:sz w:val="24"/>
        </w:rPr>
        <w:t>(which</w:t>
      </w:r>
      <w:r>
        <w:rPr>
          <w:spacing w:val="-4"/>
          <w:sz w:val="24"/>
        </w:rPr>
        <w:t xml:space="preserve"> </w:t>
      </w:r>
      <w:r>
        <w:rPr>
          <w:sz w:val="24"/>
        </w:rPr>
        <w:t>includes</w:t>
      </w:r>
      <w:r>
        <w:rPr>
          <w:spacing w:val="-4"/>
          <w:sz w:val="24"/>
        </w:rPr>
        <w:t xml:space="preserve"> </w:t>
      </w:r>
      <w:r>
        <w:rPr>
          <w:sz w:val="24"/>
        </w:rPr>
        <w:t>all</w:t>
      </w:r>
      <w:r>
        <w:rPr>
          <w:spacing w:val="-4"/>
          <w:sz w:val="24"/>
        </w:rPr>
        <w:t xml:space="preserve"> </w:t>
      </w:r>
      <w:r>
        <w:rPr>
          <w:sz w:val="24"/>
        </w:rPr>
        <w:t>modifications previously approved by the IRB), current informed consent document, status report on the progress of the research and findings obtained thus far (including the number of subjects enrolled to date), and a summary of any relevant recent literat</w:t>
      </w:r>
      <w:r>
        <w:rPr>
          <w:sz w:val="24"/>
        </w:rPr>
        <w:t>ure, amendments or modifications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since</w:t>
      </w:r>
      <w:r>
        <w:rPr>
          <w:spacing w:val="-4"/>
          <w:sz w:val="24"/>
        </w:rPr>
        <w:t xml:space="preserve"> </w:t>
      </w:r>
      <w:r>
        <w:rPr>
          <w:sz w:val="24"/>
        </w:rPr>
        <w:t>the</w:t>
      </w:r>
      <w:r>
        <w:rPr>
          <w:spacing w:val="-4"/>
          <w:sz w:val="24"/>
        </w:rPr>
        <w:t xml:space="preserve"> </w:t>
      </w:r>
      <w:r>
        <w:rPr>
          <w:sz w:val="24"/>
        </w:rPr>
        <w:t>last</w:t>
      </w:r>
      <w:r>
        <w:rPr>
          <w:spacing w:val="-4"/>
          <w:sz w:val="24"/>
        </w:rPr>
        <w:t xml:space="preserve"> </w:t>
      </w:r>
      <w:r>
        <w:rPr>
          <w:sz w:val="24"/>
        </w:rPr>
        <w:t>review</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relevant</w:t>
      </w:r>
      <w:r>
        <w:rPr>
          <w:spacing w:val="-4"/>
          <w:sz w:val="24"/>
        </w:rPr>
        <w:t xml:space="preserve"> </w:t>
      </w:r>
      <w:r>
        <w:rPr>
          <w:sz w:val="24"/>
        </w:rPr>
        <w:t>multi-center</w:t>
      </w:r>
      <w:r>
        <w:rPr>
          <w:spacing w:val="-4"/>
          <w:sz w:val="24"/>
        </w:rPr>
        <w:t xml:space="preserve"> </w:t>
      </w:r>
      <w:r>
        <w:rPr>
          <w:sz w:val="24"/>
        </w:rPr>
        <w:t>reports.</w:t>
      </w:r>
    </w:p>
    <w:p w:rsidR="00710269" w:rsidRDefault="00710269">
      <w:pPr>
        <w:rPr>
          <w:sz w:val="24"/>
        </w:rPr>
        <w:sectPr w:rsidR="00710269">
          <w:pgSz w:w="12240" w:h="15840"/>
          <w:pgMar w:top="1360" w:right="1220" w:bottom="1520" w:left="1140" w:header="0" w:footer="1338" w:gutter="0"/>
          <w:cols w:space="720"/>
        </w:sectPr>
      </w:pPr>
    </w:p>
    <w:p w:rsidR="00710269" w:rsidRDefault="00962999">
      <w:pPr>
        <w:pStyle w:val="ListParagraph"/>
        <w:numPr>
          <w:ilvl w:val="1"/>
          <w:numId w:val="3"/>
        </w:numPr>
        <w:tabs>
          <w:tab w:val="left" w:pos="1380"/>
        </w:tabs>
        <w:spacing w:before="79"/>
        <w:ind w:right="290"/>
        <w:rPr>
          <w:sz w:val="24"/>
        </w:rPr>
      </w:pPr>
      <w:r>
        <w:rPr>
          <w:sz w:val="24"/>
        </w:rPr>
        <w:t>For multi-center trials, the IRB may rely on a current statement from the Data and Safety Monitoring Board (DSMB), other similar body, or the sponsor indicating that it has reviewed study-wide adverse events, interim findings, and any recent literature tha</w:t>
      </w:r>
      <w:r>
        <w:rPr>
          <w:sz w:val="24"/>
        </w:rPr>
        <w:t xml:space="preserve">t may be relevant to the research, in lieu of requiring that this information be submitted directly to the IRB. The IRB must still receive and review reports of local, on-site adverse events and unanticipated problems involving risks to subjects or others </w:t>
      </w:r>
      <w:r>
        <w:rPr>
          <w:sz w:val="24"/>
        </w:rPr>
        <w:t>and any other information reported during the prior approval period to ensure that its continuing review is substantive and</w:t>
      </w:r>
      <w:r>
        <w:rPr>
          <w:spacing w:val="-32"/>
          <w:sz w:val="24"/>
        </w:rPr>
        <w:t xml:space="preserve"> </w:t>
      </w:r>
      <w:r>
        <w:rPr>
          <w:sz w:val="24"/>
        </w:rPr>
        <w:t>meaningful.</w:t>
      </w:r>
    </w:p>
    <w:p w:rsidR="00710269" w:rsidRDefault="00962999">
      <w:pPr>
        <w:pStyle w:val="ListParagraph"/>
        <w:numPr>
          <w:ilvl w:val="1"/>
          <w:numId w:val="3"/>
        </w:numPr>
        <w:tabs>
          <w:tab w:val="left" w:pos="1379"/>
          <w:tab w:val="left" w:pos="1380"/>
        </w:tabs>
        <w:spacing w:line="275" w:lineRule="exact"/>
        <w:rPr>
          <w:sz w:val="24"/>
        </w:rPr>
      </w:pPr>
      <w:r>
        <w:rPr>
          <w:sz w:val="24"/>
        </w:rPr>
        <w:t>Complete documentation will be available to all IRB members upon</w:t>
      </w:r>
      <w:r>
        <w:rPr>
          <w:spacing w:val="-12"/>
          <w:sz w:val="24"/>
        </w:rPr>
        <w:t xml:space="preserve"> </w:t>
      </w:r>
      <w:r>
        <w:rPr>
          <w:sz w:val="24"/>
        </w:rPr>
        <w:t>request.</w:t>
      </w:r>
    </w:p>
    <w:p w:rsidR="00710269" w:rsidRDefault="00962999">
      <w:pPr>
        <w:pStyle w:val="ListParagraph"/>
        <w:numPr>
          <w:ilvl w:val="1"/>
          <w:numId w:val="3"/>
        </w:numPr>
        <w:tabs>
          <w:tab w:val="left" w:pos="1380"/>
        </w:tabs>
        <w:spacing w:before="1"/>
        <w:ind w:right="753"/>
        <w:rPr>
          <w:sz w:val="24"/>
        </w:rPr>
      </w:pPr>
      <w:r>
        <w:rPr>
          <w:sz w:val="24"/>
        </w:rPr>
        <w:t>The</w:t>
      </w:r>
      <w:r>
        <w:rPr>
          <w:spacing w:val="-4"/>
          <w:sz w:val="24"/>
        </w:rPr>
        <w:t xml:space="preserve"> </w:t>
      </w:r>
      <w:r>
        <w:rPr>
          <w:sz w:val="24"/>
        </w:rPr>
        <w:t>IRB</w:t>
      </w:r>
      <w:r>
        <w:rPr>
          <w:spacing w:val="-3"/>
          <w:sz w:val="24"/>
        </w:rPr>
        <w:t xml:space="preserve"> </w:t>
      </w:r>
      <w:r>
        <w:rPr>
          <w:sz w:val="24"/>
        </w:rPr>
        <w:t>may</w:t>
      </w:r>
      <w:r>
        <w:rPr>
          <w:spacing w:val="-3"/>
          <w:sz w:val="24"/>
        </w:rPr>
        <w:t xml:space="preserve"> </w:t>
      </w:r>
      <w:r>
        <w:rPr>
          <w:sz w:val="24"/>
        </w:rPr>
        <w:t>require</w:t>
      </w:r>
      <w:r>
        <w:rPr>
          <w:spacing w:val="-3"/>
          <w:sz w:val="24"/>
        </w:rPr>
        <w:t xml:space="preserve"> </w:t>
      </w:r>
      <w:r>
        <w:rPr>
          <w:sz w:val="24"/>
        </w:rPr>
        <w:t>the</w:t>
      </w:r>
      <w:r>
        <w:rPr>
          <w:spacing w:val="-4"/>
          <w:sz w:val="24"/>
        </w:rPr>
        <w:t xml:space="preserve"> </w:t>
      </w:r>
      <w:r>
        <w:rPr>
          <w:sz w:val="24"/>
        </w:rPr>
        <w:t>principal</w:t>
      </w:r>
      <w:r>
        <w:rPr>
          <w:spacing w:val="-3"/>
          <w:sz w:val="24"/>
        </w:rPr>
        <w:t xml:space="preserve"> </w:t>
      </w:r>
      <w:r>
        <w:rPr>
          <w:sz w:val="24"/>
        </w:rPr>
        <w:t>investigator</w:t>
      </w:r>
      <w:r>
        <w:rPr>
          <w:spacing w:val="-3"/>
          <w:sz w:val="24"/>
        </w:rPr>
        <w:t xml:space="preserve"> </w:t>
      </w:r>
      <w:r>
        <w:rPr>
          <w:sz w:val="24"/>
        </w:rPr>
        <w:t>or</w:t>
      </w:r>
      <w:r>
        <w:rPr>
          <w:spacing w:val="-3"/>
          <w:sz w:val="24"/>
        </w:rPr>
        <w:t xml:space="preserve"> </w:t>
      </w:r>
      <w:r>
        <w:rPr>
          <w:sz w:val="24"/>
        </w:rPr>
        <w:t>his/her</w:t>
      </w:r>
      <w:r>
        <w:rPr>
          <w:spacing w:val="-4"/>
          <w:sz w:val="24"/>
        </w:rPr>
        <w:t xml:space="preserve"> </w:t>
      </w:r>
      <w:r>
        <w:rPr>
          <w:sz w:val="24"/>
        </w:rPr>
        <w:t>alternate</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IRB</w:t>
      </w:r>
      <w:r>
        <w:rPr>
          <w:spacing w:val="-4"/>
          <w:sz w:val="24"/>
        </w:rPr>
        <w:t xml:space="preserve"> </w:t>
      </w:r>
      <w:r>
        <w:rPr>
          <w:sz w:val="24"/>
        </w:rPr>
        <w:t>meetings during which their protocols are</w:t>
      </w:r>
      <w:r>
        <w:rPr>
          <w:spacing w:val="-1"/>
          <w:sz w:val="24"/>
        </w:rPr>
        <w:t xml:space="preserve"> </w:t>
      </w:r>
      <w:r>
        <w:rPr>
          <w:sz w:val="24"/>
        </w:rPr>
        <w:t>reviewed.</w:t>
      </w:r>
    </w:p>
    <w:p w:rsidR="00710269" w:rsidRDefault="00710269">
      <w:pPr>
        <w:pStyle w:val="BodyText"/>
        <w:spacing w:before="11"/>
        <w:rPr>
          <w:sz w:val="23"/>
        </w:rPr>
      </w:pPr>
    </w:p>
    <w:p w:rsidR="00710269" w:rsidRDefault="00962999">
      <w:pPr>
        <w:pStyle w:val="ListParagraph"/>
        <w:numPr>
          <w:ilvl w:val="0"/>
          <w:numId w:val="3"/>
        </w:numPr>
        <w:tabs>
          <w:tab w:val="left" w:pos="660"/>
        </w:tabs>
        <w:rPr>
          <w:sz w:val="24"/>
        </w:rPr>
      </w:pPr>
      <w:r>
        <w:rPr>
          <w:sz w:val="24"/>
        </w:rPr>
        <w:t>Notice of Decision</w:t>
      </w:r>
    </w:p>
    <w:p w:rsidR="00710269" w:rsidRDefault="00962999">
      <w:pPr>
        <w:pStyle w:val="ListParagraph"/>
        <w:numPr>
          <w:ilvl w:val="1"/>
          <w:numId w:val="3"/>
        </w:numPr>
        <w:tabs>
          <w:tab w:val="left" w:pos="1380"/>
        </w:tabs>
        <w:ind w:right="258"/>
        <w:rPr>
          <w:sz w:val="24"/>
        </w:rPr>
      </w:pPr>
      <w:r>
        <w:rPr>
          <w:sz w:val="24"/>
        </w:rPr>
        <w:t>The IRB may approve, approve with minor modifications, or disapprove any study under consideration. All IRB decisions will be documented in the meet</w:t>
      </w:r>
      <w:r>
        <w:rPr>
          <w:sz w:val="24"/>
        </w:rPr>
        <w:t>ing in accordance with the IRB Recordkeeping</w:t>
      </w:r>
      <w:r>
        <w:rPr>
          <w:spacing w:val="-1"/>
          <w:sz w:val="24"/>
        </w:rPr>
        <w:t xml:space="preserve"> </w:t>
      </w:r>
      <w:r>
        <w:rPr>
          <w:sz w:val="24"/>
        </w:rPr>
        <w:t>policy.</w:t>
      </w:r>
    </w:p>
    <w:p w:rsidR="00710269" w:rsidRDefault="00962999">
      <w:pPr>
        <w:pStyle w:val="ListParagraph"/>
        <w:numPr>
          <w:ilvl w:val="1"/>
          <w:numId w:val="3"/>
        </w:numPr>
        <w:tabs>
          <w:tab w:val="left" w:pos="1380"/>
        </w:tabs>
        <w:ind w:right="720"/>
        <w:rPr>
          <w:sz w:val="24"/>
        </w:rPr>
      </w:pPr>
      <w:r>
        <w:rPr>
          <w:sz w:val="24"/>
        </w:rPr>
        <w:t>The</w:t>
      </w:r>
      <w:r>
        <w:rPr>
          <w:spacing w:val="-4"/>
          <w:sz w:val="24"/>
        </w:rPr>
        <w:t xml:space="preserve"> </w:t>
      </w:r>
      <w:r>
        <w:rPr>
          <w:sz w:val="24"/>
        </w:rPr>
        <w:t>IRB</w:t>
      </w:r>
      <w:r>
        <w:rPr>
          <w:spacing w:val="-3"/>
          <w:sz w:val="24"/>
        </w:rPr>
        <w:t xml:space="preserve"> </w:t>
      </w:r>
      <w:r>
        <w:rPr>
          <w:sz w:val="24"/>
        </w:rPr>
        <w:t>shall</w:t>
      </w:r>
      <w:r>
        <w:rPr>
          <w:spacing w:val="-3"/>
          <w:sz w:val="24"/>
        </w:rPr>
        <w:t xml:space="preserve"> </w:t>
      </w:r>
      <w:r>
        <w:rPr>
          <w:sz w:val="24"/>
        </w:rPr>
        <w:t>notify</w:t>
      </w:r>
      <w:r>
        <w:rPr>
          <w:spacing w:val="-4"/>
          <w:sz w:val="24"/>
        </w:rPr>
        <w:t xml:space="preserve"> </w:t>
      </w:r>
      <w:r>
        <w:rPr>
          <w:sz w:val="24"/>
        </w:rPr>
        <w:t>the</w:t>
      </w:r>
      <w:r>
        <w:rPr>
          <w:spacing w:val="-3"/>
          <w:sz w:val="24"/>
        </w:rPr>
        <w:t xml:space="preserve"> </w:t>
      </w:r>
      <w:r>
        <w:rPr>
          <w:sz w:val="24"/>
        </w:rPr>
        <w:t>principal</w:t>
      </w:r>
      <w:r>
        <w:rPr>
          <w:spacing w:val="-2"/>
          <w:sz w:val="24"/>
        </w:rPr>
        <w:t xml:space="preserve"> </w:t>
      </w:r>
      <w:r>
        <w:rPr>
          <w:sz w:val="24"/>
        </w:rPr>
        <w:t>investigator,</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of</w:t>
      </w:r>
      <w:r>
        <w:rPr>
          <w:spacing w:val="-4"/>
          <w:sz w:val="24"/>
        </w:rPr>
        <w:t xml:space="preserve"> </w:t>
      </w:r>
      <w:r>
        <w:rPr>
          <w:sz w:val="24"/>
        </w:rPr>
        <w:t>its</w:t>
      </w:r>
      <w:r>
        <w:rPr>
          <w:spacing w:val="-4"/>
          <w:sz w:val="24"/>
        </w:rPr>
        <w:t xml:space="preserve"> </w:t>
      </w:r>
      <w:r>
        <w:rPr>
          <w:sz w:val="24"/>
        </w:rPr>
        <w:t>decision</w:t>
      </w:r>
      <w:r>
        <w:rPr>
          <w:spacing w:val="-3"/>
          <w:sz w:val="24"/>
        </w:rPr>
        <w:t xml:space="preserve"> </w:t>
      </w:r>
      <w:r>
        <w:rPr>
          <w:sz w:val="24"/>
        </w:rPr>
        <w:t>to</w:t>
      </w:r>
      <w:r>
        <w:rPr>
          <w:spacing w:val="-3"/>
          <w:sz w:val="24"/>
        </w:rPr>
        <w:t xml:space="preserve"> </w:t>
      </w:r>
      <w:r>
        <w:rPr>
          <w:sz w:val="24"/>
        </w:rPr>
        <w:t>approve,</w:t>
      </w:r>
      <w:r>
        <w:rPr>
          <w:spacing w:val="-3"/>
          <w:sz w:val="24"/>
        </w:rPr>
        <w:t xml:space="preserve"> </w:t>
      </w:r>
      <w:r>
        <w:rPr>
          <w:sz w:val="24"/>
        </w:rPr>
        <w:t>require modifications in, or disapprove a</w:t>
      </w:r>
      <w:r>
        <w:rPr>
          <w:spacing w:val="-2"/>
          <w:sz w:val="24"/>
        </w:rPr>
        <w:t xml:space="preserve"> </w:t>
      </w:r>
      <w:r>
        <w:rPr>
          <w:sz w:val="24"/>
        </w:rPr>
        <w:t>study.</w:t>
      </w:r>
    </w:p>
    <w:p w:rsidR="00710269" w:rsidRDefault="00962999">
      <w:pPr>
        <w:pStyle w:val="ListParagraph"/>
        <w:numPr>
          <w:ilvl w:val="1"/>
          <w:numId w:val="3"/>
        </w:numPr>
        <w:tabs>
          <w:tab w:val="left" w:pos="1379"/>
          <w:tab w:val="left" w:pos="1380"/>
        </w:tabs>
        <w:ind w:right="589"/>
        <w:rPr>
          <w:sz w:val="24"/>
        </w:rPr>
      </w:pPr>
      <w:r>
        <w:rPr>
          <w:sz w:val="24"/>
        </w:rPr>
        <w:t>If the IRB approves a study for continuing review with minor modifications/clarifications,</w:t>
      </w:r>
      <w:r>
        <w:rPr>
          <w:spacing w:val="-30"/>
          <w:sz w:val="24"/>
        </w:rPr>
        <w:t xml:space="preserve"> </w:t>
      </w:r>
      <w:r>
        <w:rPr>
          <w:sz w:val="24"/>
        </w:rPr>
        <w:t>the notification letter will contain such requests. The IRB Chair or designee may provide final approval once the modifications have been made or reviewed. The inves</w:t>
      </w:r>
      <w:r>
        <w:rPr>
          <w:sz w:val="24"/>
        </w:rPr>
        <w:t>tigator will be informed of the date the revisions must be</w:t>
      </w:r>
      <w:r>
        <w:rPr>
          <w:spacing w:val="-5"/>
          <w:sz w:val="24"/>
        </w:rPr>
        <w:t xml:space="preserve"> </w:t>
      </w:r>
      <w:r>
        <w:rPr>
          <w:sz w:val="24"/>
        </w:rPr>
        <w:t>received.</w:t>
      </w:r>
    </w:p>
    <w:p w:rsidR="00710269" w:rsidRDefault="00962999">
      <w:pPr>
        <w:pStyle w:val="ListParagraph"/>
        <w:numPr>
          <w:ilvl w:val="1"/>
          <w:numId w:val="3"/>
        </w:numPr>
        <w:tabs>
          <w:tab w:val="left" w:pos="1380"/>
        </w:tabs>
        <w:ind w:right="401"/>
        <w:rPr>
          <w:sz w:val="24"/>
        </w:rPr>
      </w:pPr>
      <w:r>
        <w:rPr>
          <w:sz w:val="24"/>
        </w:rPr>
        <w:t>If the IRB disapproves a study, the letter shall include the reason(s) for the decision, and give the investigator an opportunity to</w:t>
      </w:r>
      <w:r>
        <w:rPr>
          <w:spacing w:val="-2"/>
          <w:sz w:val="24"/>
        </w:rPr>
        <w:t xml:space="preserve"> </w:t>
      </w:r>
      <w:r>
        <w:rPr>
          <w:sz w:val="24"/>
        </w:rPr>
        <w:t>respond.</w:t>
      </w:r>
    </w:p>
    <w:p w:rsidR="00710269" w:rsidRDefault="00710269">
      <w:pPr>
        <w:pStyle w:val="BodyText"/>
        <w:rPr>
          <w:sz w:val="26"/>
        </w:rPr>
      </w:pPr>
    </w:p>
    <w:p w:rsidR="00710269" w:rsidRDefault="00710269">
      <w:pPr>
        <w:pStyle w:val="BodyText"/>
        <w:rPr>
          <w:sz w:val="22"/>
        </w:rPr>
      </w:pPr>
    </w:p>
    <w:p w:rsidR="00710269" w:rsidRDefault="00962999">
      <w:pPr>
        <w:pStyle w:val="Heading1"/>
      </w:pPr>
      <w:r>
        <w:rPr>
          <w:u w:val="single"/>
        </w:rPr>
        <w:t>PROCEDURES:</w:t>
      </w:r>
    </w:p>
    <w:p w:rsidR="00710269" w:rsidRDefault="00710269">
      <w:pPr>
        <w:pStyle w:val="BodyText"/>
        <w:spacing w:before="11"/>
        <w:rPr>
          <w:b/>
          <w:sz w:val="15"/>
        </w:rPr>
      </w:pPr>
    </w:p>
    <w:p w:rsidR="00710269" w:rsidRDefault="00962999">
      <w:pPr>
        <w:pStyle w:val="ListParagraph"/>
        <w:numPr>
          <w:ilvl w:val="0"/>
          <w:numId w:val="2"/>
        </w:numPr>
        <w:tabs>
          <w:tab w:val="left" w:pos="660"/>
        </w:tabs>
        <w:spacing w:before="92"/>
        <w:ind w:right="401"/>
        <w:rPr>
          <w:sz w:val="24"/>
        </w:rPr>
      </w:pPr>
      <w:r>
        <w:rPr>
          <w:sz w:val="24"/>
        </w:rPr>
        <w:t>Investigators</w:t>
      </w:r>
      <w:r>
        <w:rPr>
          <w:spacing w:val="-5"/>
          <w:sz w:val="24"/>
        </w:rPr>
        <w:t xml:space="preserve"> </w:t>
      </w:r>
      <w:r>
        <w:rPr>
          <w:sz w:val="24"/>
        </w:rPr>
        <w:t>must</w:t>
      </w:r>
      <w:r>
        <w:rPr>
          <w:spacing w:val="-5"/>
          <w:sz w:val="24"/>
        </w:rPr>
        <w:t xml:space="preserve"> </w:t>
      </w:r>
      <w:r>
        <w:rPr>
          <w:sz w:val="24"/>
        </w:rPr>
        <w:t>submit</w:t>
      </w:r>
      <w:r>
        <w:rPr>
          <w:spacing w:val="-4"/>
          <w:sz w:val="24"/>
        </w:rPr>
        <w:t xml:space="preserve"> </w:t>
      </w:r>
      <w:r>
        <w:rPr>
          <w:sz w:val="24"/>
        </w:rPr>
        <w:t>an</w:t>
      </w:r>
      <w:r>
        <w:rPr>
          <w:spacing w:val="-5"/>
          <w:sz w:val="24"/>
        </w:rPr>
        <w:t xml:space="preserve"> </w:t>
      </w:r>
      <w:r>
        <w:rPr>
          <w:sz w:val="24"/>
        </w:rPr>
        <w:t>I</w:t>
      </w:r>
      <w:r>
        <w:rPr>
          <w:sz w:val="24"/>
        </w:rPr>
        <w:t>RB</w:t>
      </w:r>
      <w:r>
        <w:rPr>
          <w:spacing w:val="-4"/>
          <w:sz w:val="24"/>
        </w:rPr>
        <w:t xml:space="preserve"> </w:t>
      </w:r>
      <w:r>
        <w:rPr>
          <w:sz w:val="24"/>
        </w:rPr>
        <w:t>Continuation</w:t>
      </w:r>
      <w:r>
        <w:rPr>
          <w:spacing w:val="-5"/>
          <w:sz w:val="24"/>
        </w:rPr>
        <w:t xml:space="preserve"> </w:t>
      </w:r>
      <w:r>
        <w:rPr>
          <w:sz w:val="24"/>
        </w:rPr>
        <w:t>form</w:t>
      </w:r>
      <w:r>
        <w:rPr>
          <w:spacing w:val="-5"/>
          <w:sz w:val="24"/>
        </w:rPr>
        <w:t xml:space="preserve"> </w:t>
      </w:r>
      <w:r>
        <w:rPr>
          <w:sz w:val="24"/>
        </w:rPr>
        <w:t>and</w:t>
      </w:r>
      <w:r>
        <w:rPr>
          <w:spacing w:val="-4"/>
          <w:sz w:val="24"/>
        </w:rPr>
        <w:t xml:space="preserve"> </w:t>
      </w:r>
      <w:r>
        <w:rPr>
          <w:sz w:val="24"/>
        </w:rPr>
        <w:t>shall</w:t>
      </w:r>
      <w:r>
        <w:rPr>
          <w:spacing w:val="-5"/>
          <w:sz w:val="24"/>
        </w:rPr>
        <w:t xml:space="preserve"> </w:t>
      </w:r>
      <w:r>
        <w:rPr>
          <w:sz w:val="24"/>
        </w:rPr>
        <w:t>include</w:t>
      </w:r>
      <w:r>
        <w:rPr>
          <w:spacing w:val="-4"/>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5"/>
          <w:sz w:val="24"/>
        </w:rPr>
        <w:t xml:space="preserve"> </w:t>
      </w:r>
      <w:r>
        <w:rPr>
          <w:sz w:val="24"/>
        </w:rPr>
        <w:t>subjects</w:t>
      </w:r>
      <w:r>
        <w:rPr>
          <w:spacing w:val="-6"/>
          <w:sz w:val="24"/>
        </w:rPr>
        <w:t xml:space="preserve"> </w:t>
      </w:r>
      <w:r>
        <w:rPr>
          <w:sz w:val="24"/>
        </w:rPr>
        <w:t xml:space="preserve">enrolled to date and summarize the progress of the research and findings obtained thus far; and any relevant recent literature, amendments or modifications to the research since the last review </w:t>
      </w:r>
      <w:r>
        <w:rPr>
          <w:sz w:val="24"/>
        </w:rPr>
        <w:t>to the IRB Coordinator.</w:t>
      </w:r>
    </w:p>
    <w:p w:rsidR="00710269" w:rsidRDefault="00710269">
      <w:pPr>
        <w:pStyle w:val="BodyText"/>
        <w:spacing w:before="1"/>
      </w:pPr>
    </w:p>
    <w:p w:rsidR="00710269" w:rsidRDefault="00962999">
      <w:pPr>
        <w:pStyle w:val="ListParagraph"/>
        <w:numPr>
          <w:ilvl w:val="0"/>
          <w:numId w:val="2"/>
        </w:numPr>
        <w:tabs>
          <w:tab w:val="left" w:pos="660"/>
        </w:tabs>
        <w:ind w:right="289"/>
        <w:rPr>
          <w:sz w:val="24"/>
        </w:rPr>
      </w:pPr>
      <w:r>
        <w:rPr>
          <w:sz w:val="24"/>
        </w:rPr>
        <w:t>It is the IRB Coordinator’s responsibility to provide all applicable documentation listed in section 5 above to IRB members. The documentation must be forwarded significantly in advance of the meeting to allow for adequate</w:t>
      </w:r>
      <w:r>
        <w:rPr>
          <w:spacing w:val="-1"/>
          <w:sz w:val="24"/>
        </w:rPr>
        <w:t xml:space="preserve"> </w:t>
      </w:r>
      <w:r>
        <w:rPr>
          <w:sz w:val="24"/>
        </w:rPr>
        <w:t>review.</w:t>
      </w:r>
    </w:p>
    <w:p w:rsidR="00710269" w:rsidRDefault="00710269">
      <w:pPr>
        <w:pStyle w:val="BodyText"/>
      </w:pPr>
    </w:p>
    <w:p w:rsidR="00710269" w:rsidRDefault="00962999">
      <w:pPr>
        <w:pStyle w:val="ListParagraph"/>
        <w:numPr>
          <w:ilvl w:val="0"/>
          <w:numId w:val="2"/>
        </w:numPr>
        <w:tabs>
          <w:tab w:val="left" w:pos="660"/>
        </w:tabs>
        <w:ind w:right="860"/>
        <w:rPr>
          <w:sz w:val="24"/>
        </w:rPr>
      </w:pPr>
      <w:r>
        <w:rPr>
          <w:sz w:val="24"/>
        </w:rPr>
        <w:t>The</w:t>
      </w:r>
      <w:r>
        <w:rPr>
          <w:spacing w:val="-4"/>
          <w:sz w:val="24"/>
        </w:rPr>
        <w:t xml:space="preserve"> </w:t>
      </w:r>
      <w:r>
        <w:rPr>
          <w:sz w:val="24"/>
        </w:rPr>
        <w:t>IRB</w:t>
      </w:r>
      <w:r>
        <w:rPr>
          <w:spacing w:val="-3"/>
          <w:sz w:val="24"/>
        </w:rPr>
        <w:t xml:space="preserve"> </w:t>
      </w:r>
      <w:r>
        <w:rPr>
          <w:sz w:val="24"/>
        </w:rPr>
        <w:t>Coordinator</w:t>
      </w:r>
      <w:r>
        <w:rPr>
          <w:spacing w:val="-4"/>
          <w:sz w:val="24"/>
        </w:rPr>
        <w:t xml:space="preserve"> </w:t>
      </w:r>
      <w:r>
        <w:rPr>
          <w:sz w:val="24"/>
        </w:rPr>
        <w:t>will</w:t>
      </w:r>
      <w:r>
        <w:rPr>
          <w:spacing w:val="-3"/>
          <w:sz w:val="24"/>
        </w:rPr>
        <w:t xml:space="preserve"> </w:t>
      </w:r>
      <w:r>
        <w:rPr>
          <w:sz w:val="24"/>
        </w:rPr>
        <w:t>document</w:t>
      </w:r>
      <w:r>
        <w:rPr>
          <w:spacing w:val="-3"/>
          <w:sz w:val="24"/>
        </w:rPr>
        <w:t xml:space="preserve"> </w:t>
      </w:r>
      <w:r>
        <w:rPr>
          <w:sz w:val="24"/>
        </w:rPr>
        <w:t>all</w:t>
      </w:r>
      <w:r>
        <w:rPr>
          <w:spacing w:val="-4"/>
          <w:sz w:val="24"/>
        </w:rPr>
        <w:t xml:space="preserve"> </w:t>
      </w:r>
      <w:r>
        <w:rPr>
          <w:sz w:val="24"/>
        </w:rPr>
        <w:t>IRB</w:t>
      </w:r>
      <w:r>
        <w:rPr>
          <w:spacing w:val="-3"/>
          <w:sz w:val="24"/>
        </w:rPr>
        <w:t xml:space="preserve"> </w:t>
      </w:r>
      <w:r>
        <w:rPr>
          <w:sz w:val="24"/>
        </w:rPr>
        <w:t>decisions</w:t>
      </w:r>
      <w:r>
        <w:rPr>
          <w:spacing w:val="-3"/>
          <w:sz w:val="24"/>
        </w:rPr>
        <w:t xml:space="preserve"> </w:t>
      </w:r>
      <w:r>
        <w:rPr>
          <w:sz w:val="24"/>
        </w:rPr>
        <w:t>and</w:t>
      </w:r>
      <w:r>
        <w:rPr>
          <w:spacing w:val="-4"/>
          <w:sz w:val="24"/>
        </w:rPr>
        <w:t xml:space="preserve"> </w:t>
      </w:r>
      <w:r>
        <w:rPr>
          <w:sz w:val="24"/>
        </w:rPr>
        <w:t>deliberations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in accordance with the IRB Recordkeeping</w:t>
      </w:r>
      <w:r>
        <w:rPr>
          <w:spacing w:val="-3"/>
          <w:sz w:val="24"/>
        </w:rPr>
        <w:t xml:space="preserve"> </w:t>
      </w:r>
      <w:r>
        <w:rPr>
          <w:sz w:val="24"/>
        </w:rPr>
        <w:t>policy.</w:t>
      </w:r>
    </w:p>
    <w:p w:rsidR="00710269" w:rsidRDefault="00710269">
      <w:pPr>
        <w:pStyle w:val="BodyText"/>
        <w:rPr>
          <w:sz w:val="26"/>
        </w:rPr>
      </w:pPr>
    </w:p>
    <w:p w:rsidR="00710269" w:rsidRDefault="00710269">
      <w:pPr>
        <w:pStyle w:val="BodyText"/>
        <w:rPr>
          <w:sz w:val="22"/>
        </w:rPr>
      </w:pPr>
    </w:p>
    <w:p w:rsidR="00710269" w:rsidRDefault="00962999">
      <w:pPr>
        <w:pStyle w:val="Heading1"/>
        <w:spacing w:line="275" w:lineRule="exact"/>
      </w:pPr>
      <w:r>
        <w:rPr>
          <w:u w:val="single"/>
        </w:rPr>
        <w:t>REFERENCES</w:t>
      </w:r>
    </w:p>
    <w:p w:rsidR="00710269" w:rsidRDefault="00962999">
      <w:pPr>
        <w:pStyle w:val="ListParagraph"/>
        <w:numPr>
          <w:ilvl w:val="1"/>
          <w:numId w:val="2"/>
        </w:numPr>
        <w:tabs>
          <w:tab w:val="left" w:pos="1019"/>
          <w:tab w:val="left" w:pos="1020"/>
        </w:tabs>
        <w:spacing w:line="268" w:lineRule="exact"/>
      </w:pPr>
      <w:r>
        <w:t>45 CFR 46.111</w:t>
      </w:r>
    </w:p>
    <w:p w:rsidR="00710269" w:rsidRDefault="00962999">
      <w:pPr>
        <w:pStyle w:val="ListParagraph"/>
        <w:numPr>
          <w:ilvl w:val="1"/>
          <w:numId w:val="2"/>
        </w:numPr>
        <w:tabs>
          <w:tab w:val="left" w:pos="1019"/>
          <w:tab w:val="left" w:pos="1020"/>
        </w:tabs>
        <w:spacing w:line="269" w:lineRule="exact"/>
      </w:pPr>
      <w:r>
        <w:t>21 CFR 56.108, 56.111</w:t>
      </w:r>
    </w:p>
    <w:p w:rsidR="00710269" w:rsidRDefault="00710269">
      <w:pPr>
        <w:spacing w:line="269" w:lineRule="exact"/>
        <w:sectPr w:rsidR="00710269">
          <w:pgSz w:w="12240" w:h="15840"/>
          <w:pgMar w:top="1360" w:right="1220" w:bottom="1520" w:left="1140" w:header="0" w:footer="1338" w:gutter="0"/>
          <w:cols w:space="720"/>
        </w:sectPr>
      </w:pPr>
    </w:p>
    <w:p w:rsidR="00710269" w:rsidRDefault="00962999">
      <w:pPr>
        <w:pStyle w:val="Heading1"/>
        <w:spacing w:before="79" w:line="275" w:lineRule="exact"/>
      </w:pPr>
      <w:r>
        <w:rPr>
          <w:u w:val="single"/>
        </w:rPr>
        <w:t>DOCUMENTATION (Documents &amp; Forms)</w:t>
      </w:r>
    </w:p>
    <w:p w:rsidR="00710269" w:rsidRDefault="00962999">
      <w:pPr>
        <w:pStyle w:val="BodyText"/>
        <w:spacing w:line="275" w:lineRule="exact"/>
        <w:ind w:left="660"/>
      </w:pPr>
      <w:r>
        <w:t>1. IRB Continuation Form</w:t>
      </w:r>
    </w:p>
    <w:p w:rsidR="00710269" w:rsidRDefault="00710269">
      <w:pPr>
        <w:pStyle w:val="BodyText"/>
      </w:pPr>
    </w:p>
    <w:p w:rsidR="00710269" w:rsidRDefault="00962999">
      <w:pPr>
        <w:pStyle w:val="Heading1"/>
      </w:pPr>
      <w:r>
        <w:rPr>
          <w:u w:val="single"/>
        </w:rPr>
        <w:t>Other Related Policy/Procedures:</w:t>
      </w:r>
    </w:p>
    <w:p w:rsidR="00710269" w:rsidRDefault="00962999">
      <w:pPr>
        <w:pStyle w:val="ListParagraph"/>
        <w:numPr>
          <w:ilvl w:val="0"/>
          <w:numId w:val="1"/>
        </w:numPr>
        <w:tabs>
          <w:tab w:val="left" w:pos="1020"/>
        </w:tabs>
        <w:spacing w:before="1" w:line="275" w:lineRule="exact"/>
        <w:rPr>
          <w:sz w:val="24"/>
        </w:rPr>
      </w:pPr>
      <w:r>
        <w:rPr>
          <w:sz w:val="24"/>
        </w:rPr>
        <w:t>Initial</w:t>
      </w:r>
      <w:r>
        <w:rPr>
          <w:spacing w:val="-1"/>
          <w:sz w:val="24"/>
        </w:rPr>
        <w:t xml:space="preserve"> </w:t>
      </w:r>
      <w:r>
        <w:rPr>
          <w:sz w:val="24"/>
        </w:rPr>
        <w:t>Review</w:t>
      </w:r>
    </w:p>
    <w:p w:rsidR="00710269" w:rsidRDefault="00962999">
      <w:pPr>
        <w:pStyle w:val="ListParagraph"/>
        <w:numPr>
          <w:ilvl w:val="0"/>
          <w:numId w:val="1"/>
        </w:numPr>
        <w:tabs>
          <w:tab w:val="left" w:pos="1020"/>
        </w:tabs>
        <w:spacing w:line="275" w:lineRule="exact"/>
        <w:rPr>
          <w:sz w:val="24"/>
        </w:rPr>
      </w:pPr>
      <w:r>
        <w:rPr>
          <w:sz w:val="24"/>
        </w:rPr>
        <w:t>Expedited</w:t>
      </w:r>
      <w:r>
        <w:rPr>
          <w:spacing w:val="-1"/>
          <w:sz w:val="24"/>
        </w:rPr>
        <w:t xml:space="preserve"> </w:t>
      </w:r>
      <w:r>
        <w:rPr>
          <w:sz w:val="24"/>
        </w:rPr>
        <w:t>Review</w:t>
      </w:r>
    </w:p>
    <w:p w:rsidR="00710269" w:rsidRDefault="00710269">
      <w:pPr>
        <w:pStyle w:val="BodyText"/>
        <w:rPr>
          <w:sz w:val="26"/>
        </w:rPr>
      </w:pPr>
    </w:p>
    <w:p w:rsidR="00710269" w:rsidRDefault="00710269">
      <w:pPr>
        <w:pStyle w:val="BodyText"/>
        <w:rPr>
          <w:sz w:val="26"/>
        </w:rPr>
      </w:pPr>
    </w:p>
    <w:p w:rsidR="00710269" w:rsidRDefault="00710269">
      <w:pPr>
        <w:pStyle w:val="BodyText"/>
        <w:rPr>
          <w:sz w:val="26"/>
        </w:rPr>
      </w:pPr>
    </w:p>
    <w:p w:rsidR="00710269" w:rsidRDefault="00962999">
      <w:pPr>
        <w:pStyle w:val="Heading1"/>
        <w:spacing w:before="207"/>
        <w:ind w:left="4025" w:right="3944"/>
        <w:jc w:val="center"/>
      </w:pPr>
      <w:r>
        <w:t>REVISION HISTORY</w:t>
      </w:r>
    </w:p>
    <w:p w:rsidR="00710269" w:rsidRDefault="00710269">
      <w:pPr>
        <w:pStyle w:val="BodyText"/>
        <w:rPr>
          <w:b/>
          <w:sz w:val="20"/>
        </w:rPr>
      </w:pPr>
    </w:p>
    <w:p w:rsidR="00710269" w:rsidRDefault="00710269">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710269">
        <w:trPr>
          <w:trHeight w:val="253"/>
        </w:trPr>
        <w:tc>
          <w:tcPr>
            <w:tcW w:w="2250" w:type="dxa"/>
            <w:shd w:val="clear" w:color="auto" w:fill="D9D9D9"/>
          </w:tcPr>
          <w:p w:rsidR="00710269" w:rsidRDefault="00962999">
            <w:pPr>
              <w:pStyle w:val="TableParagraph"/>
              <w:spacing w:line="234" w:lineRule="exact"/>
              <w:ind w:left="220"/>
              <w:rPr>
                <w:b/>
              </w:rPr>
            </w:pPr>
            <w:r>
              <w:rPr>
                <w:b/>
              </w:rPr>
              <w:t>Revision Number</w:t>
            </w:r>
          </w:p>
        </w:tc>
        <w:tc>
          <w:tcPr>
            <w:tcW w:w="3690" w:type="dxa"/>
            <w:shd w:val="clear" w:color="auto" w:fill="D9D9D9"/>
          </w:tcPr>
          <w:p w:rsidR="00710269" w:rsidRDefault="00962999">
            <w:pPr>
              <w:pStyle w:val="TableParagraph"/>
              <w:spacing w:line="234" w:lineRule="exact"/>
              <w:ind w:left="610"/>
              <w:rPr>
                <w:b/>
              </w:rPr>
            </w:pPr>
            <w:r>
              <w:rPr>
                <w:b/>
              </w:rPr>
              <w:t>Description of Changes</w:t>
            </w:r>
          </w:p>
        </w:tc>
        <w:tc>
          <w:tcPr>
            <w:tcW w:w="1854" w:type="dxa"/>
            <w:shd w:val="clear" w:color="auto" w:fill="D9D9D9"/>
          </w:tcPr>
          <w:p w:rsidR="00710269" w:rsidRDefault="00962999">
            <w:pPr>
              <w:pStyle w:val="TableParagraph"/>
              <w:spacing w:line="234" w:lineRule="exact"/>
              <w:ind w:left="388"/>
              <w:rPr>
                <w:b/>
              </w:rPr>
            </w:pPr>
            <w:r>
              <w:rPr>
                <w:b/>
              </w:rPr>
              <w:t>Approvals</w:t>
            </w:r>
          </w:p>
        </w:tc>
        <w:tc>
          <w:tcPr>
            <w:tcW w:w="1854" w:type="dxa"/>
            <w:shd w:val="clear" w:color="auto" w:fill="D9D9D9"/>
          </w:tcPr>
          <w:p w:rsidR="00710269" w:rsidRDefault="00962999">
            <w:pPr>
              <w:pStyle w:val="TableParagraph"/>
              <w:spacing w:line="234" w:lineRule="exact"/>
              <w:ind w:left="668" w:right="659"/>
              <w:jc w:val="center"/>
              <w:rPr>
                <w:b/>
              </w:rPr>
            </w:pPr>
            <w:r>
              <w:rPr>
                <w:b/>
              </w:rPr>
              <w:t>Date</w:t>
            </w:r>
          </w:p>
        </w:tc>
      </w:tr>
      <w:tr w:rsidR="00710269">
        <w:trPr>
          <w:trHeight w:val="275"/>
        </w:trPr>
        <w:tc>
          <w:tcPr>
            <w:tcW w:w="2250" w:type="dxa"/>
          </w:tcPr>
          <w:p w:rsidR="00710269" w:rsidRDefault="00710269">
            <w:pPr>
              <w:pStyle w:val="TableParagraph"/>
              <w:rPr>
                <w:rFonts w:ascii="Times New Roman"/>
                <w:sz w:val="20"/>
              </w:rPr>
            </w:pPr>
          </w:p>
        </w:tc>
        <w:tc>
          <w:tcPr>
            <w:tcW w:w="3690"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r>
      <w:tr w:rsidR="00710269">
        <w:trPr>
          <w:trHeight w:val="275"/>
        </w:trPr>
        <w:tc>
          <w:tcPr>
            <w:tcW w:w="2250" w:type="dxa"/>
          </w:tcPr>
          <w:p w:rsidR="00710269" w:rsidRDefault="00710269">
            <w:pPr>
              <w:pStyle w:val="TableParagraph"/>
              <w:rPr>
                <w:rFonts w:ascii="Times New Roman"/>
                <w:sz w:val="20"/>
              </w:rPr>
            </w:pPr>
          </w:p>
        </w:tc>
        <w:tc>
          <w:tcPr>
            <w:tcW w:w="3690"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r>
      <w:tr w:rsidR="00710269">
        <w:trPr>
          <w:trHeight w:val="275"/>
        </w:trPr>
        <w:tc>
          <w:tcPr>
            <w:tcW w:w="2250" w:type="dxa"/>
          </w:tcPr>
          <w:p w:rsidR="00710269" w:rsidRDefault="00710269">
            <w:pPr>
              <w:pStyle w:val="TableParagraph"/>
              <w:rPr>
                <w:rFonts w:ascii="Times New Roman"/>
                <w:sz w:val="20"/>
              </w:rPr>
            </w:pPr>
          </w:p>
        </w:tc>
        <w:tc>
          <w:tcPr>
            <w:tcW w:w="3690"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r>
      <w:tr w:rsidR="00710269">
        <w:trPr>
          <w:trHeight w:val="276"/>
        </w:trPr>
        <w:tc>
          <w:tcPr>
            <w:tcW w:w="2250" w:type="dxa"/>
          </w:tcPr>
          <w:p w:rsidR="00710269" w:rsidRDefault="00710269">
            <w:pPr>
              <w:pStyle w:val="TableParagraph"/>
              <w:rPr>
                <w:rFonts w:ascii="Times New Roman"/>
                <w:sz w:val="20"/>
              </w:rPr>
            </w:pPr>
          </w:p>
        </w:tc>
        <w:tc>
          <w:tcPr>
            <w:tcW w:w="3690"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r>
      <w:tr w:rsidR="00710269">
        <w:trPr>
          <w:trHeight w:val="275"/>
        </w:trPr>
        <w:tc>
          <w:tcPr>
            <w:tcW w:w="2250" w:type="dxa"/>
          </w:tcPr>
          <w:p w:rsidR="00710269" w:rsidRDefault="00710269">
            <w:pPr>
              <w:pStyle w:val="TableParagraph"/>
              <w:rPr>
                <w:rFonts w:ascii="Times New Roman"/>
                <w:sz w:val="20"/>
              </w:rPr>
            </w:pPr>
          </w:p>
        </w:tc>
        <w:tc>
          <w:tcPr>
            <w:tcW w:w="3690"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c>
          <w:tcPr>
            <w:tcW w:w="1854" w:type="dxa"/>
          </w:tcPr>
          <w:p w:rsidR="00710269" w:rsidRDefault="00710269">
            <w:pPr>
              <w:pStyle w:val="TableParagraph"/>
              <w:rPr>
                <w:rFonts w:ascii="Times New Roman"/>
                <w:sz w:val="20"/>
              </w:rPr>
            </w:pPr>
          </w:p>
        </w:tc>
      </w:tr>
    </w:tbl>
    <w:p w:rsidR="00000000" w:rsidRDefault="00962999"/>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999">
      <w:r>
        <w:separator/>
      </w:r>
    </w:p>
  </w:endnote>
  <w:endnote w:type="continuationSeparator" w:id="0">
    <w:p w:rsidR="00000000" w:rsidRDefault="0096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69" w:rsidRDefault="00962999">
    <w:pPr>
      <w:pStyle w:val="BodyText"/>
      <w:spacing w:line="14" w:lineRule="auto"/>
      <w:rPr>
        <w:sz w:val="20"/>
      </w:rPr>
    </w:pPr>
    <w:r>
      <w:rPr>
        <w:noProof/>
      </w:rPr>
      <mc:AlternateContent>
        <mc:Choice Requires="wpg">
          <w:drawing>
            <wp:anchor distT="0" distB="0" distL="114300" distR="114300" simplePos="0" relativeHeight="503310200"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92678" id="Group 4" o:spid="_x0000_s1026" style="position:absolute;margin-left:70.5pt;margin-top:711.1pt;width:471pt;height:4.45pt;z-index:-6280;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69" w:rsidRDefault="00962999">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710269" w:rsidRDefault="00962999">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69" w:rsidRDefault="00962999">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710269" w:rsidRDefault="00962999">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69" w:rsidRDefault="00962999">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710269" w:rsidRDefault="00962999">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999">
      <w:r>
        <w:separator/>
      </w:r>
    </w:p>
  </w:footnote>
  <w:footnote w:type="continuationSeparator" w:id="0">
    <w:p w:rsidR="00000000" w:rsidRDefault="0096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32"/>
    <w:multiLevelType w:val="hybridMultilevel"/>
    <w:tmpl w:val="BD005214"/>
    <w:lvl w:ilvl="0" w:tplc="4B86AA8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99A0297C">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F572DAE6">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29064A02">
      <w:numFmt w:val="bullet"/>
      <w:lvlText w:val="•"/>
      <w:lvlJc w:val="left"/>
      <w:pPr>
        <w:ind w:left="3072" w:hanging="279"/>
      </w:pPr>
      <w:rPr>
        <w:rFonts w:hint="default"/>
      </w:rPr>
    </w:lvl>
    <w:lvl w:ilvl="4" w:tplc="AA42299A">
      <w:numFmt w:val="bullet"/>
      <w:lvlText w:val="•"/>
      <w:lvlJc w:val="left"/>
      <w:pPr>
        <w:ind w:left="4045" w:hanging="279"/>
      </w:pPr>
      <w:rPr>
        <w:rFonts w:hint="default"/>
      </w:rPr>
    </w:lvl>
    <w:lvl w:ilvl="5" w:tplc="6E38E7E8">
      <w:numFmt w:val="bullet"/>
      <w:lvlText w:val="•"/>
      <w:lvlJc w:val="left"/>
      <w:pPr>
        <w:ind w:left="5017" w:hanging="279"/>
      </w:pPr>
      <w:rPr>
        <w:rFonts w:hint="default"/>
      </w:rPr>
    </w:lvl>
    <w:lvl w:ilvl="6" w:tplc="750232F6">
      <w:numFmt w:val="bullet"/>
      <w:lvlText w:val="•"/>
      <w:lvlJc w:val="left"/>
      <w:pPr>
        <w:ind w:left="5990" w:hanging="279"/>
      </w:pPr>
      <w:rPr>
        <w:rFonts w:hint="default"/>
      </w:rPr>
    </w:lvl>
    <w:lvl w:ilvl="7" w:tplc="4F167172">
      <w:numFmt w:val="bullet"/>
      <w:lvlText w:val="•"/>
      <w:lvlJc w:val="left"/>
      <w:pPr>
        <w:ind w:left="6962" w:hanging="279"/>
      </w:pPr>
      <w:rPr>
        <w:rFonts w:hint="default"/>
      </w:rPr>
    </w:lvl>
    <w:lvl w:ilvl="8" w:tplc="B93A8588">
      <w:numFmt w:val="bullet"/>
      <w:lvlText w:val="•"/>
      <w:lvlJc w:val="left"/>
      <w:pPr>
        <w:ind w:left="7935" w:hanging="279"/>
      </w:pPr>
      <w:rPr>
        <w:rFonts w:hint="default"/>
      </w:rPr>
    </w:lvl>
  </w:abstractNum>
  <w:abstractNum w:abstractNumId="1" w15:restartNumberingAfterBreak="0">
    <w:nsid w:val="3B4A3CAA"/>
    <w:multiLevelType w:val="hybridMultilevel"/>
    <w:tmpl w:val="01F8F2D8"/>
    <w:lvl w:ilvl="0" w:tplc="0EFE6272">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33F0C77C">
      <w:numFmt w:val="bullet"/>
      <w:lvlText w:val="•"/>
      <w:lvlJc w:val="left"/>
      <w:pPr>
        <w:ind w:left="1906" w:hanging="360"/>
      </w:pPr>
      <w:rPr>
        <w:rFonts w:hint="default"/>
      </w:rPr>
    </w:lvl>
    <w:lvl w:ilvl="2" w:tplc="9D8C8A3C">
      <w:numFmt w:val="bullet"/>
      <w:lvlText w:val="•"/>
      <w:lvlJc w:val="left"/>
      <w:pPr>
        <w:ind w:left="2792" w:hanging="360"/>
      </w:pPr>
      <w:rPr>
        <w:rFonts w:hint="default"/>
      </w:rPr>
    </w:lvl>
    <w:lvl w:ilvl="3" w:tplc="C5AE4D1A">
      <w:numFmt w:val="bullet"/>
      <w:lvlText w:val="•"/>
      <w:lvlJc w:val="left"/>
      <w:pPr>
        <w:ind w:left="3678" w:hanging="360"/>
      </w:pPr>
      <w:rPr>
        <w:rFonts w:hint="default"/>
      </w:rPr>
    </w:lvl>
    <w:lvl w:ilvl="4" w:tplc="6A0CEF1C">
      <w:numFmt w:val="bullet"/>
      <w:lvlText w:val="•"/>
      <w:lvlJc w:val="left"/>
      <w:pPr>
        <w:ind w:left="4564" w:hanging="360"/>
      </w:pPr>
      <w:rPr>
        <w:rFonts w:hint="default"/>
      </w:rPr>
    </w:lvl>
    <w:lvl w:ilvl="5" w:tplc="9EB060DE">
      <w:numFmt w:val="bullet"/>
      <w:lvlText w:val="•"/>
      <w:lvlJc w:val="left"/>
      <w:pPr>
        <w:ind w:left="5450" w:hanging="360"/>
      </w:pPr>
      <w:rPr>
        <w:rFonts w:hint="default"/>
      </w:rPr>
    </w:lvl>
    <w:lvl w:ilvl="6" w:tplc="B5421EAE">
      <w:numFmt w:val="bullet"/>
      <w:lvlText w:val="•"/>
      <w:lvlJc w:val="left"/>
      <w:pPr>
        <w:ind w:left="6336" w:hanging="360"/>
      </w:pPr>
      <w:rPr>
        <w:rFonts w:hint="default"/>
      </w:rPr>
    </w:lvl>
    <w:lvl w:ilvl="7" w:tplc="80BA0846">
      <w:numFmt w:val="bullet"/>
      <w:lvlText w:val="•"/>
      <w:lvlJc w:val="left"/>
      <w:pPr>
        <w:ind w:left="7222" w:hanging="360"/>
      </w:pPr>
      <w:rPr>
        <w:rFonts w:hint="default"/>
      </w:rPr>
    </w:lvl>
    <w:lvl w:ilvl="8" w:tplc="D9DEA300">
      <w:numFmt w:val="bullet"/>
      <w:lvlText w:val="•"/>
      <w:lvlJc w:val="left"/>
      <w:pPr>
        <w:ind w:left="8108" w:hanging="360"/>
      </w:pPr>
      <w:rPr>
        <w:rFonts w:hint="default"/>
      </w:rPr>
    </w:lvl>
  </w:abstractNum>
  <w:abstractNum w:abstractNumId="2" w15:restartNumberingAfterBreak="0">
    <w:nsid w:val="629962E4"/>
    <w:multiLevelType w:val="hybridMultilevel"/>
    <w:tmpl w:val="17E03FD4"/>
    <w:lvl w:ilvl="0" w:tplc="271A6F5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51A29BE">
      <w:numFmt w:val="bullet"/>
      <w:lvlText w:val=""/>
      <w:lvlJc w:val="left"/>
      <w:pPr>
        <w:ind w:left="1020" w:hanging="360"/>
      </w:pPr>
      <w:rPr>
        <w:rFonts w:ascii="Symbol" w:eastAsia="Symbol" w:hAnsi="Symbol" w:cs="Symbol" w:hint="default"/>
        <w:w w:val="99"/>
        <w:sz w:val="22"/>
        <w:szCs w:val="22"/>
      </w:rPr>
    </w:lvl>
    <w:lvl w:ilvl="2" w:tplc="B546EFFA">
      <w:numFmt w:val="bullet"/>
      <w:lvlText w:val="•"/>
      <w:lvlJc w:val="left"/>
      <w:pPr>
        <w:ind w:left="2004" w:hanging="360"/>
      </w:pPr>
      <w:rPr>
        <w:rFonts w:hint="default"/>
      </w:rPr>
    </w:lvl>
    <w:lvl w:ilvl="3" w:tplc="DB086A06">
      <w:numFmt w:val="bullet"/>
      <w:lvlText w:val="•"/>
      <w:lvlJc w:val="left"/>
      <w:pPr>
        <w:ind w:left="2988" w:hanging="360"/>
      </w:pPr>
      <w:rPr>
        <w:rFonts w:hint="default"/>
      </w:rPr>
    </w:lvl>
    <w:lvl w:ilvl="4" w:tplc="EA4AD384">
      <w:numFmt w:val="bullet"/>
      <w:lvlText w:val="•"/>
      <w:lvlJc w:val="left"/>
      <w:pPr>
        <w:ind w:left="3973" w:hanging="360"/>
      </w:pPr>
      <w:rPr>
        <w:rFonts w:hint="default"/>
      </w:rPr>
    </w:lvl>
    <w:lvl w:ilvl="5" w:tplc="EBDCF56E">
      <w:numFmt w:val="bullet"/>
      <w:lvlText w:val="•"/>
      <w:lvlJc w:val="left"/>
      <w:pPr>
        <w:ind w:left="4957" w:hanging="360"/>
      </w:pPr>
      <w:rPr>
        <w:rFonts w:hint="default"/>
      </w:rPr>
    </w:lvl>
    <w:lvl w:ilvl="6" w:tplc="2B663778">
      <w:numFmt w:val="bullet"/>
      <w:lvlText w:val="•"/>
      <w:lvlJc w:val="left"/>
      <w:pPr>
        <w:ind w:left="5942" w:hanging="360"/>
      </w:pPr>
      <w:rPr>
        <w:rFonts w:hint="default"/>
      </w:rPr>
    </w:lvl>
    <w:lvl w:ilvl="7" w:tplc="7C506CF6">
      <w:numFmt w:val="bullet"/>
      <w:lvlText w:val="•"/>
      <w:lvlJc w:val="left"/>
      <w:pPr>
        <w:ind w:left="6926" w:hanging="360"/>
      </w:pPr>
      <w:rPr>
        <w:rFonts w:hint="default"/>
      </w:rPr>
    </w:lvl>
    <w:lvl w:ilvl="8" w:tplc="7CAE805E">
      <w:numFmt w:val="bullet"/>
      <w:lvlText w:val="•"/>
      <w:lvlJc w:val="left"/>
      <w:pPr>
        <w:ind w:left="791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9"/>
    <w:rsid w:val="00710269"/>
    <w:rsid w:val="0096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2ECBBCC-888C-46D5-AFC8-4BA9CD39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Continuing Review - APPROVED 03.25.2015</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Continuing Review - APPROVED 03.25.2015</dc:title>
  <dc:creator>FLEWIS</dc:creator>
  <cp:lastModifiedBy>Reilly Moss</cp:lastModifiedBy>
  <cp:revision>2</cp:revision>
  <dcterms:created xsi:type="dcterms:W3CDTF">2019-07-08T18:49:00Z</dcterms:created>
  <dcterms:modified xsi:type="dcterms:W3CDTF">2019-07-08T18:49:00Z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PScript5.dll Version 5.2.2</vt:lpwstr>
  </property>
  <property fmtid="{D5CDD505-2E9C-101B-9397-08002B2CF9AE}" pid="4" name="LastSaved">
    <vt:filetime>2019-07-08T00:00:00Z</vt:filetime>
  </property>
</Properties>
</file>