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6E1" w:rsidRDefault="00A07DA3">
      <w:pPr>
        <w:spacing w:before="79"/>
        <w:ind w:left="3066"/>
        <w:rPr>
          <w:b/>
          <w:sz w:val="28"/>
        </w:rPr>
      </w:pPr>
      <w:bookmarkStart w:id="0" w:name="_GoBack"/>
      <w:bookmarkEnd w:id="0"/>
      <w:r>
        <w:rPr>
          <w:b/>
          <w:sz w:val="28"/>
          <w:u w:val="thick"/>
        </w:rPr>
        <w:t>Phoebe Putney Health System, Inc.</w:t>
      </w:r>
    </w:p>
    <w:p w:rsidR="00D646E1" w:rsidRDefault="00D646E1">
      <w:pPr>
        <w:pStyle w:val="BodyText"/>
        <w:spacing w:before="11"/>
        <w:rPr>
          <w:b/>
          <w:sz w:val="15"/>
        </w:rPr>
      </w:pPr>
    </w:p>
    <w:p w:rsidR="00D646E1" w:rsidRDefault="00A07DA3">
      <w:pPr>
        <w:pStyle w:val="Heading1"/>
        <w:spacing w:before="92"/>
        <w:jc w:val="both"/>
      </w:pPr>
      <w:r>
        <w:t>INSTITUTIONAL REVIEW BOARD (IRB) EMERGENCY USE OF DRUGS, BIOLOGICS, AND DEVICES</w:t>
      </w:r>
    </w:p>
    <w:p w:rsidR="00D646E1" w:rsidRDefault="00A07DA3">
      <w:pPr>
        <w:spacing w:before="1"/>
        <w:ind w:right="552"/>
        <w:jc w:val="right"/>
        <w:rPr>
          <w:b/>
          <w:sz w:val="24"/>
        </w:rPr>
      </w:pPr>
      <w:r>
        <w:rPr>
          <w:noProof/>
        </w:rPr>
        <mc:AlternateContent>
          <mc:Choice Requires="wps">
            <w:drawing>
              <wp:anchor distT="0" distB="0" distL="0" distR="0" simplePos="0" relativeHeight="251657216" behindDoc="1" locked="0" layoutInCell="1" allowOverlap="1">
                <wp:simplePos x="0" y="0"/>
                <wp:positionH relativeFrom="page">
                  <wp:posOffset>842010</wp:posOffset>
                </wp:positionH>
                <wp:positionV relativeFrom="paragraph">
                  <wp:posOffset>275590</wp:posOffset>
                </wp:positionV>
                <wp:extent cx="5787390" cy="0"/>
                <wp:effectExtent l="22860" t="23495" r="28575" b="2413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88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124F3"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21.7pt" to="52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" strokeweight="3.06pt">
                <w10:wrap type="topAndBottom" anchorx="page"/>
              </v:line>
            </w:pict>
          </mc:Fallback>
        </mc:AlternateContent>
      </w:r>
      <w:r>
        <w:rPr>
          <w:b/>
          <w:sz w:val="24"/>
        </w:rPr>
        <w:t>POLICY NO.: PPMH</w:t>
      </w:r>
    </w:p>
    <w:p w:rsidR="00D646E1" w:rsidRDefault="00A07DA3">
      <w:pPr>
        <w:tabs>
          <w:tab w:val="left" w:pos="6781"/>
        </w:tabs>
        <w:spacing w:before="57" w:line="275" w:lineRule="exact"/>
        <w:ind w:left="300"/>
        <w:jc w:val="both"/>
        <w:rPr>
          <w:sz w:val="24"/>
        </w:rPr>
      </w:pPr>
      <w:r>
        <w:rPr>
          <w:b/>
          <w:sz w:val="24"/>
        </w:rPr>
        <w:t>Approved by:</w:t>
      </w:r>
      <w:r>
        <w:rPr>
          <w:b/>
          <w:spacing w:val="47"/>
          <w:sz w:val="24"/>
        </w:rPr>
        <w:t xml:space="preserve"> </w:t>
      </w:r>
      <w:r>
        <w:rPr>
          <w:sz w:val="24"/>
        </w:rPr>
        <w:t>IRB</w:t>
      </w:r>
      <w:r>
        <w:rPr>
          <w:spacing w:val="-3"/>
          <w:sz w:val="24"/>
        </w:rPr>
        <w:t xml:space="preserve"> </w:t>
      </w:r>
      <w:r>
        <w:rPr>
          <w:sz w:val="24"/>
        </w:rPr>
        <w:t>Chair</w:t>
      </w:r>
      <w:r>
        <w:rPr>
          <w:sz w:val="24"/>
        </w:rPr>
        <w:tab/>
        <w:t>Review Date:</w:t>
      </w:r>
    </w:p>
    <w:p w:rsidR="00D646E1" w:rsidRDefault="00A07DA3">
      <w:pPr>
        <w:tabs>
          <w:tab w:val="left" w:pos="6779"/>
        </w:tabs>
        <w:spacing w:line="275" w:lineRule="exact"/>
        <w:ind w:left="300"/>
        <w:jc w:val="both"/>
        <w:rPr>
          <w:sz w:val="24"/>
        </w:rPr>
      </w:pPr>
      <w:r>
        <w:rPr>
          <w:b/>
          <w:sz w:val="24"/>
        </w:rPr>
        <w:t>Review</w:t>
      </w:r>
      <w:r>
        <w:rPr>
          <w:b/>
          <w:spacing w:val="-2"/>
          <w:sz w:val="24"/>
        </w:rPr>
        <w:t xml:space="preserve"> </w:t>
      </w:r>
      <w:r>
        <w:rPr>
          <w:b/>
          <w:sz w:val="24"/>
        </w:rPr>
        <w:t>Period:</w:t>
      </w:r>
      <w:r>
        <w:rPr>
          <w:b/>
          <w:spacing w:val="-28"/>
          <w:sz w:val="24"/>
        </w:rPr>
        <w:t xml:space="preserve"> </w:t>
      </w:r>
      <w:r>
        <w:rPr>
          <w:sz w:val="24"/>
        </w:rPr>
        <w:t>Annually</w:t>
      </w:r>
      <w:r>
        <w:rPr>
          <w:sz w:val="24"/>
        </w:rPr>
        <w:tab/>
        <w:t>Revised Date:</w:t>
      </w:r>
    </w:p>
    <w:p w:rsidR="00D646E1" w:rsidRDefault="00A07DA3">
      <w:pPr>
        <w:tabs>
          <w:tab w:val="left" w:pos="6779"/>
        </w:tabs>
        <w:spacing w:before="1"/>
        <w:ind w:left="6780" w:right="722" w:hanging="6480"/>
        <w:jc w:val="right"/>
        <w:rPr>
          <w:sz w:val="24"/>
        </w:rPr>
      </w:pPr>
      <w:r>
        <w:rPr>
          <w:b/>
          <w:sz w:val="24"/>
        </w:rPr>
        <w:t xml:space="preserve">Contact Information: </w:t>
      </w:r>
      <w:r>
        <w:rPr>
          <w:sz w:val="24"/>
        </w:rPr>
        <w:t>Institutional</w:t>
      </w:r>
      <w:r>
        <w:rPr>
          <w:spacing w:val="-9"/>
          <w:sz w:val="24"/>
        </w:rPr>
        <w:t xml:space="preserve"> </w:t>
      </w:r>
      <w:r>
        <w:rPr>
          <w:sz w:val="24"/>
        </w:rPr>
        <w:t>Review</w:t>
      </w:r>
      <w:r>
        <w:rPr>
          <w:spacing w:val="-3"/>
          <w:sz w:val="24"/>
        </w:rPr>
        <w:t xml:space="preserve"> </w:t>
      </w:r>
      <w:r>
        <w:rPr>
          <w:sz w:val="24"/>
        </w:rPr>
        <w:t>Board</w:t>
      </w:r>
      <w:r>
        <w:rPr>
          <w:sz w:val="24"/>
        </w:rPr>
        <w:tab/>
      </w:r>
      <w:r>
        <w:rPr>
          <w:sz w:val="24"/>
        </w:rPr>
        <w:t>Approval</w:t>
      </w:r>
      <w:r>
        <w:rPr>
          <w:spacing w:val="-10"/>
          <w:sz w:val="24"/>
        </w:rPr>
        <w:t xml:space="preserve"> </w:t>
      </w:r>
      <w:r>
        <w:rPr>
          <w:sz w:val="24"/>
        </w:rPr>
        <w:t>Date:</w:t>
      </w:r>
      <w:r>
        <w:rPr>
          <w:spacing w:val="-9"/>
          <w:sz w:val="24"/>
        </w:rPr>
        <w:t xml:space="preserve"> </w:t>
      </w:r>
      <w:r>
        <w:rPr>
          <w:sz w:val="24"/>
        </w:rPr>
        <w:t>05/25/2016</w:t>
      </w:r>
      <w:r>
        <w:rPr>
          <w:spacing w:val="-1"/>
          <w:w w:val="99"/>
          <w:sz w:val="24"/>
        </w:rPr>
        <w:t xml:space="preserve"> </w:t>
      </w:r>
      <w:r>
        <w:rPr>
          <w:sz w:val="24"/>
        </w:rPr>
        <w:t>Effective Date:</w:t>
      </w:r>
      <w:r>
        <w:rPr>
          <w:spacing w:val="32"/>
          <w:sz w:val="24"/>
        </w:rPr>
        <w:t xml:space="preserve"> </w:t>
      </w:r>
      <w:r>
        <w:rPr>
          <w:sz w:val="24"/>
        </w:rPr>
        <w:t>05/25/2016</w:t>
      </w:r>
    </w:p>
    <w:p w:rsidR="00D646E1" w:rsidRDefault="00A07DA3">
      <w:pPr>
        <w:pStyle w:val="BodyText"/>
        <w:spacing w:before="11"/>
      </w:pPr>
      <w:r>
        <w:rPr>
          <w:noProof/>
        </w:rPr>
        <mc:AlternateContent>
          <mc:Choice Requires="wps">
            <w:drawing>
              <wp:anchor distT="0" distB="0" distL="0" distR="0" simplePos="0" relativeHeight="251658240" behindDoc="1" locked="0" layoutInCell="1" allowOverlap="1">
                <wp:simplePos x="0" y="0"/>
                <wp:positionH relativeFrom="page">
                  <wp:posOffset>842010</wp:posOffset>
                </wp:positionH>
                <wp:positionV relativeFrom="paragraph">
                  <wp:posOffset>227330</wp:posOffset>
                </wp:positionV>
                <wp:extent cx="5787390" cy="0"/>
                <wp:effectExtent l="22860" t="20320" r="28575" b="2730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403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69132"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7.9pt" to="52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g7HgIAAEI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" strokeweight="3.18pt">
                <w10:wrap type="topAndBottom" anchorx="page"/>
              </v:line>
            </w:pict>
          </mc:Fallback>
        </mc:AlternateContent>
      </w:r>
    </w:p>
    <w:p w:rsidR="00D646E1" w:rsidRDefault="00D646E1">
      <w:pPr>
        <w:pStyle w:val="BodyText"/>
        <w:spacing w:before="5"/>
        <w:rPr>
          <w:sz w:val="35"/>
        </w:rPr>
      </w:pPr>
    </w:p>
    <w:p w:rsidR="00D646E1" w:rsidRDefault="00A07DA3">
      <w:pPr>
        <w:pStyle w:val="BodyText"/>
        <w:ind w:left="300" w:right="654"/>
      </w:pPr>
      <w:r>
        <w:rPr>
          <w:b/>
          <w:u w:val="single"/>
        </w:rPr>
        <w:t>SCOPE</w:t>
      </w:r>
      <w:r>
        <w:rPr>
          <w:b/>
        </w:rPr>
        <w:t xml:space="preserve">: </w:t>
      </w:r>
      <w:r>
        <w:t>The Emergency Use of Drugs, Biologics, and Devices policy applies to all research involving human subjects, including behavioral, biomedical, and social sciences.</w:t>
      </w:r>
    </w:p>
    <w:p w:rsidR="00D646E1" w:rsidRDefault="00D646E1">
      <w:pPr>
        <w:pStyle w:val="BodyText"/>
        <w:rPr>
          <w:sz w:val="26"/>
        </w:rPr>
      </w:pPr>
    </w:p>
    <w:p w:rsidR="00D646E1" w:rsidRDefault="00D646E1">
      <w:pPr>
        <w:pStyle w:val="BodyText"/>
        <w:rPr>
          <w:sz w:val="22"/>
        </w:rPr>
      </w:pPr>
    </w:p>
    <w:p w:rsidR="00D646E1" w:rsidRDefault="00A07DA3">
      <w:pPr>
        <w:pStyle w:val="BodyText"/>
        <w:ind w:left="299" w:right="216"/>
        <w:jc w:val="both"/>
      </w:pPr>
      <w:r>
        <w:rPr>
          <w:b/>
          <w:u w:val="single"/>
        </w:rPr>
        <w:t>PURPOSE:</w:t>
      </w:r>
      <w:r>
        <w:rPr>
          <w:b/>
        </w:rPr>
        <w:t xml:space="preserve"> </w:t>
      </w:r>
      <w:r>
        <w:t>This emergency use policy outlines the responsibilities of the physician/investigator when an emergency requires that a patient be treated with an investigational test article such that there is not sufficient time to obtain Institutional Review Board (IRB</w:t>
      </w:r>
      <w:r>
        <w:t>) review and approval at a convened meeting. This is an exception to the general rule that investigational test articles may only be used in human subjects who are participating in a clinical investigation/research. Emergency uses are for the purpose of pr</w:t>
      </w:r>
      <w:r>
        <w:t xml:space="preserve">oviding clinical </w:t>
      </w:r>
      <w:r>
        <w:rPr>
          <w:i/>
        </w:rPr>
        <w:t>treatment</w:t>
      </w:r>
      <w:r>
        <w:t xml:space="preserve">, and are not considered to be </w:t>
      </w:r>
      <w:r>
        <w:rPr>
          <w:i/>
        </w:rPr>
        <w:t xml:space="preserve">research </w:t>
      </w:r>
      <w:r>
        <w:t xml:space="preserve">according to OHRP regulations at 45 CFR 46.102(d). </w:t>
      </w:r>
      <w:r>
        <w:rPr>
          <w:b/>
        </w:rPr>
        <w:t xml:space="preserve">Whenever possible, informed consent should be obtained before the investigational test article is used. </w:t>
      </w:r>
      <w:r>
        <w:t xml:space="preserve">Emergency uses are exempt from the </w:t>
      </w:r>
      <w:r>
        <w:t>requirement to obtain prior IRB review  and approval, provided that the use is reported to the IRB within 5 working days after initiation of the emergency use. 21 CFR 56.104(c). The physician should complete as many of the patient protection measures detai</w:t>
      </w:r>
      <w:r>
        <w:t>led in this policy as possible before using the investigational article. If a physician anticipates using an investigational test article more than one time at Phoebe Putney Memorial Hospital, the physician should contact the PPMH IRB about the need to sub</w:t>
      </w:r>
      <w:r>
        <w:t>mit an IRB application for prospective IRB review and approval of a research</w:t>
      </w:r>
      <w:r>
        <w:rPr>
          <w:spacing w:val="-1"/>
        </w:rPr>
        <w:t xml:space="preserve"> </w:t>
      </w:r>
      <w:r>
        <w:t>study.</w:t>
      </w:r>
    </w:p>
    <w:p w:rsidR="00D646E1" w:rsidRDefault="00D646E1">
      <w:pPr>
        <w:pStyle w:val="BodyText"/>
        <w:rPr>
          <w:sz w:val="26"/>
        </w:rPr>
      </w:pPr>
    </w:p>
    <w:p w:rsidR="00D646E1" w:rsidRDefault="00D646E1">
      <w:pPr>
        <w:pStyle w:val="BodyText"/>
        <w:rPr>
          <w:sz w:val="22"/>
        </w:rPr>
      </w:pPr>
    </w:p>
    <w:p w:rsidR="00D646E1" w:rsidRDefault="00A07DA3">
      <w:pPr>
        <w:pStyle w:val="Heading1"/>
        <w:ind w:left="299"/>
        <w:jc w:val="both"/>
      </w:pPr>
      <w:r>
        <w:rPr>
          <w:u w:val="single"/>
        </w:rPr>
        <w:t>DEFINITIONS:</w:t>
      </w:r>
    </w:p>
    <w:p w:rsidR="00D646E1" w:rsidRDefault="00D646E1">
      <w:pPr>
        <w:pStyle w:val="BodyText"/>
        <w:rPr>
          <w:b/>
          <w:sz w:val="16"/>
        </w:rPr>
      </w:pPr>
    </w:p>
    <w:p w:rsidR="00D646E1" w:rsidRDefault="00A07DA3">
      <w:pPr>
        <w:pStyle w:val="ListParagraph"/>
        <w:numPr>
          <w:ilvl w:val="0"/>
          <w:numId w:val="15"/>
        </w:numPr>
        <w:tabs>
          <w:tab w:val="left" w:pos="660"/>
        </w:tabs>
        <w:spacing w:before="92"/>
        <w:ind w:right="565"/>
        <w:rPr>
          <w:sz w:val="24"/>
        </w:rPr>
      </w:pPr>
      <w:r>
        <w:rPr>
          <w:b/>
          <w:i/>
          <w:sz w:val="24"/>
        </w:rPr>
        <w:t xml:space="preserve">Test Article: </w:t>
      </w:r>
      <w:r>
        <w:rPr>
          <w:sz w:val="24"/>
        </w:rPr>
        <w:t>Any drug for human use, biological product for human use, medical device for human use, human food additive, color additive, electronic product, or any other article subject to FDA regulation. 21 CFR</w:t>
      </w:r>
      <w:r>
        <w:rPr>
          <w:spacing w:val="-1"/>
          <w:sz w:val="24"/>
        </w:rPr>
        <w:t xml:space="preserve"> </w:t>
      </w:r>
      <w:r>
        <w:rPr>
          <w:sz w:val="24"/>
        </w:rPr>
        <w:t>56.102(l).</w:t>
      </w:r>
    </w:p>
    <w:p w:rsidR="00D646E1" w:rsidRDefault="00D646E1">
      <w:pPr>
        <w:pStyle w:val="BodyText"/>
      </w:pPr>
    </w:p>
    <w:p w:rsidR="00D646E1" w:rsidRDefault="00A07DA3">
      <w:pPr>
        <w:pStyle w:val="ListParagraph"/>
        <w:numPr>
          <w:ilvl w:val="0"/>
          <w:numId w:val="15"/>
        </w:numPr>
        <w:tabs>
          <w:tab w:val="left" w:pos="660"/>
        </w:tabs>
        <w:ind w:right="269"/>
        <w:rPr>
          <w:sz w:val="24"/>
        </w:rPr>
      </w:pPr>
      <w:r>
        <w:rPr>
          <w:b/>
          <w:i/>
          <w:sz w:val="24"/>
        </w:rPr>
        <w:t xml:space="preserve">Emergency Use: </w:t>
      </w:r>
      <w:r>
        <w:rPr>
          <w:sz w:val="24"/>
        </w:rPr>
        <w:t xml:space="preserve">Use of a </w:t>
      </w:r>
      <w:r>
        <w:rPr>
          <w:i/>
          <w:sz w:val="24"/>
        </w:rPr>
        <w:t xml:space="preserve">test article </w:t>
      </w:r>
      <w:r>
        <w:rPr>
          <w:sz w:val="24"/>
        </w:rPr>
        <w:t>on a hu</w:t>
      </w:r>
      <w:r>
        <w:rPr>
          <w:sz w:val="24"/>
        </w:rPr>
        <w:t xml:space="preserve">man participant in a </w:t>
      </w:r>
      <w:r>
        <w:rPr>
          <w:i/>
          <w:sz w:val="24"/>
        </w:rPr>
        <w:t xml:space="preserve">life-threatening </w:t>
      </w:r>
      <w:r>
        <w:rPr>
          <w:sz w:val="24"/>
        </w:rPr>
        <w:t>situation in which no standard acceptable treatment is available, and in which there is not sufficient time to obtain IRB approval. 21 CFR</w:t>
      </w:r>
      <w:r>
        <w:rPr>
          <w:spacing w:val="-1"/>
          <w:sz w:val="24"/>
        </w:rPr>
        <w:t xml:space="preserve"> </w:t>
      </w:r>
      <w:r>
        <w:rPr>
          <w:sz w:val="24"/>
        </w:rPr>
        <w:t>56.102(d).</w:t>
      </w:r>
    </w:p>
    <w:p w:rsidR="00D646E1" w:rsidRDefault="00D646E1">
      <w:pPr>
        <w:pStyle w:val="BodyText"/>
        <w:spacing w:before="1"/>
      </w:pPr>
    </w:p>
    <w:p w:rsidR="00D646E1" w:rsidRDefault="00A07DA3">
      <w:pPr>
        <w:pStyle w:val="ListParagraph"/>
        <w:numPr>
          <w:ilvl w:val="0"/>
          <w:numId w:val="15"/>
        </w:numPr>
        <w:tabs>
          <w:tab w:val="left" w:pos="660"/>
        </w:tabs>
        <w:ind w:right="478"/>
        <w:rPr>
          <w:sz w:val="24"/>
        </w:rPr>
      </w:pPr>
      <w:r>
        <w:rPr>
          <w:b/>
          <w:i/>
          <w:sz w:val="24"/>
        </w:rPr>
        <w:t xml:space="preserve">IND: </w:t>
      </w:r>
      <w:r>
        <w:rPr>
          <w:sz w:val="24"/>
        </w:rPr>
        <w:t>Investigational New Drug Application is an FDA submission that</w:t>
      </w:r>
      <w:r>
        <w:rPr>
          <w:sz w:val="24"/>
        </w:rPr>
        <w:t xml:space="preserve"> requests permission to use an </w:t>
      </w:r>
      <w:r>
        <w:rPr>
          <w:i/>
          <w:sz w:val="24"/>
        </w:rPr>
        <w:t xml:space="preserve">investigational drug/biologic </w:t>
      </w:r>
      <w:r>
        <w:rPr>
          <w:sz w:val="24"/>
        </w:rPr>
        <w:t>in a patient. One type of IND is the “emergency IND,” which allows the FDA to authorize the use of an investigational drug/biologic in an emergency situation that does not allow time for prior su</w:t>
      </w:r>
      <w:r>
        <w:rPr>
          <w:sz w:val="24"/>
        </w:rPr>
        <w:t>bmission of an IND application in accordance with FDA regulations. It is</w:t>
      </w:r>
      <w:r>
        <w:rPr>
          <w:spacing w:val="-35"/>
          <w:sz w:val="24"/>
        </w:rPr>
        <w:t xml:space="preserve"> </w:t>
      </w:r>
      <w:r>
        <w:rPr>
          <w:sz w:val="24"/>
        </w:rPr>
        <w:t>also</w:t>
      </w:r>
    </w:p>
    <w:p w:rsidR="00D646E1" w:rsidRDefault="00D646E1">
      <w:pPr>
        <w:rPr>
          <w:sz w:val="24"/>
        </w:rPr>
        <w:sectPr w:rsidR="00D646E1">
          <w:footerReference w:type="default" r:id="rId7"/>
          <w:type w:val="continuous"/>
          <w:pgSz w:w="12240" w:h="15840"/>
          <w:pgMar w:top="1360" w:right="1220" w:bottom="1420" w:left="1140" w:header="720" w:footer="1223" w:gutter="0"/>
          <w:pgNumType w:start="1"/>
          <w:cols w:space="720"/>
        </w:sectPr>
      </w:pPr>
    </w:p>
    <w:p w:rsidR="00D646E1" w:rsidRDefault="00A07DA3">
      <w:pPr>
        <w:pStyle w:val="BodyText"/>
        <w:spacing w:before="79"/>
        <w:ind w:left="660" w:right="654"/>
      </w:pPr>
      <w:r>
        <w:lastRenderedPageBreak/>
        <w:t>used for patients who do not meet the criteria of an existing study protocol, or if an approved study protocol does not exist for the drug/biologic.</w:t>
      </w:r>
    </w:p>
    <w:p w:rsidR="00D646E1" w:rsidRDefault="00D646E1">
      <w:pPr>
        <w:pStyle w:val="BodyText"/>
        <w:spacing w:before="11"/>
        <w:rPr>
          <w:sz w:val="23"/>
        </w:rPr>
      </w:pPr>
    </w:p>
    <w:p w:rsidR="00D646E1" w:rsidRDefault="00A07DA3">
      <w:pPr>
        <w:pStyle w:val="ListParagraph"/>
        <w:numPr>
          <w:ilvl w:val="0"/>
          <w:numId w:val="15"/>
        </w:numPr>
        <w:tabs>
          <w:tab w:val="left" w:pos="660"/>
        </w:tabs>
        <w:ind w:right="335"/>
        <w:rPr>
          <w:sz w:val="24"/>
        </w:rPr>
      </w:pPr>
      <w:r>
        <w:rPr>
          <w:b/>
          <w:i/>
          <w:sz w:val="24"/>
        </w:rPr>
        <w:t xml:space="preserve">IDE: </w:t>
      </w:r>
      <w:r>
        <w:rPr>
          <w:sz w:val="24"/>
        </w:rPr>
        <w:t xml:space="preserve">Investigational Device Exemption, which requests FDA permission use an </w:t>
      </w:r>
      <w:r>
        <w:rPr>
          <w:i/>
          <w:sz w:val="24"/>
        </w:rPr>
        <w:t xml:space="preserve">investigational device </w:t>
      </w:r>
      <w:r>
        <w:rPr>
          <w:sz w:val="24"/>
        </w:rPr>
        <w:t>in a patient. An “emergency IDE” may be needed when an IDE for the device does not exist; when a physician</w:t>
      </w:r>
      <w:r>
        <w:rPr>
          <w:spacing w:val="-4"/>
          <w:sz w:val="24"/>
        </w:rPr>
        <w:t xml:space="preserve"> </w:t>
      </w:r>
      <w:r>
        <w:rPr>
          <w:sz w:val="24"/>
        </w:rPr>
        <w:t>wants</w:t>
      </w:r>
      <w:r>
        <w:rPr>
          <w:spacing w:val="-3"/>
          <w:sz w:val="24"/>
        </w:rPr>
        <w:t xml:space="preserve"> </w:t>
      </w:r>
      <w:r>
        <w:rPr>
          <w:sz w:val="24"/>
        </w:rPr>
        <w:t>to</w:t>
      </w:r>
      <w:r>
        <w:rPr>
          <w:spacing w:val="-3"/>
          <w:sz w:val="24"/>
        </w:rPr>
        <w:t xml:space="preserve"> </w:t>
      </w:r>
      <w:r>
        <w:rPr>
          <w:sz w:val="24"/>
        </w:rPr>
        <w:t>use</w:t>
      </w:r>
      <w:r>
        <w:rPr>
          <w:spacing w:val="-3"/>
          <w:sz w:val="24"/>
        </w:rPr>
        <w:t xml:space="preserve"> </w:t>
      </w:r>
      <w:r>
        <w:rPr>
          <w:sz w:val="24"/>
        </w:rPr>
        <w:t>a</w:t>
      </w:r>
      <w:r>
        <w:rPr>
          <w:spacing w:val="-3"/>
          <w:sz w:val="24"/>
        </w:rPr>
        <w:t xml:space="preserve"> </w:t>
      </w:r>
      <w:r>
        <w:rPr>
          <w:sz w:val="24"/>
        </w:rPr>
        <w:t>device</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way</w:t>
      </w:r>
      <w:r>
        <w:rPr>
          <w:spacing w:val="-3"/>
          <w:sz w:val="24"/>
        </w:rPr>
        <w:t xml:space="preserve"> </w:t>
      </w:r>
      <w:r>
        <w:rPr>
          <w:sz w:val="24"/>
        </w:rPr>
        <w:t>not</w:t>
      </w:r>
      <w:r>
        <w:rPr>
          <w:spacing w:val="-4"/>
          <w:sz w:val="24"/>
        </w:rPr>
        <w:t xml:space="preserve"> </w:t>
      </w:r>
      <w:r>
        <w:rPr>
          <w:sz w:val="24"/>
        </w:rPr>
        <w:t>approved</w:t>
      </w:r>
      <w:r>
        <w:rPr>
          <w:spacing w:val="-3"/>
          <w:sz w:val="24"/>
        </w:rPr>
        <w:t xml:space="preserve"> </w:t>
      </w:r>
      <w:r>
        <w:rPr>
          <w:sz w:val="24"/>
        </w:rPr>
        <w:t>under</w:t>
      </w:r>
      <w:r>
        <w:rPr>
          <w:spacing w:val="-3"/>
          <w:sz w:val="24"/>
        </w:rPr>
        <w:t xml:space="preserve"> </w:t>
      </w:r>
      <w:r>
        <w:rPr>
          <w:sz w:val="24"/>
        </w:rPr>
        <w:t>an</w:t>
      </w:r>
      <w:r>
        <w:rPr>
          <w:spacing w:val="-3"/>
          <w:sz w:val="24"/>
        </w:rPr>
        <w:t xml:space="preserve"> </w:t>
      </w:r>
      <w:r>
        <w:rPr>
          <w:sz w:val="24"/>
        </w:rPr>
        <w:t>ap</w:t>
      </w:r>
      <w:r>
        <w:rPr>
          <w:sz w:val="24"/>
        </w:rPr>
        <w:t>proved</w:t>
      </w:r>
      <w:r>
        <w:rPr>
          <w:spacing w:val="-4"/>
          <w:sz w:val="24"/>
        </w:rPr>
        <w:t xml:space="preserve"> </w:t>
      </w:r>
      <w:r>
        <w:rPr>
          <w:sz w:val="24"/>
        </w:rPr>
        <w:t>IDE;</w:t>
      </w:r>
      <w:r>
        <w:rPr>
          <w:spacing w:val="-3"/>
          <w:sz w:val="24"/>
        </w:rPr>
        <w:t xml:space="preserve"> </w:t>
      </w:r>
      <w:r>
        <w:rPr>
          <w:sz w:val="24"/>
        </w:rPr>
        <w:t>or</w:t>
      </w:r>
      <w:r>
        <w:rPr>
          <w:spacing w:val="-3"/>
          <w:sz w:val="24"/>
        </w:rPr>
        <w:t xml:space="preserve"> </w:t>
      </w:r>
      <w:r>
        <w:rPr>
          <w:sz w:val="24"/>
        </w:rPr>
        <w:t>when</w:t>
      </w:r>
      <w:r>
        <w:rPr>
          <w:spacing w:val="-3"/>
          <w:sz w:val="24"/>
        </w:rPr>
        <w:t xml:space="preserve"> </w:t>
      </w:r>
      <w:r>
        <w:rPr>
          <w:sz w:val="24"/>
        </w:rPr>
        <w:t>a</w:t>
      </w:r>
      <w:r>
        <w:rPr>
          <w:spacing w:val="-3"/>
          <w:sz w:val="24"/>
        </w:rPr>
        <w:t xml:space="preserve"> </w:t>
      </w:r>
      <w:r>
        <w:rPr>
          <w:sz w:val="24"/>
        </w:rPr>
        <w:t>physician</w:t>
      </w:r>
      <w:r>
        <w:rPr>
          <w:spacing w:val="-3"/>
          <w:sz w:val="24"/>
        </w:rPr>
        <w:t xml:space="preserve"> </w:t>
      </w:r>
      <w:r>
        <w:rPr>
          <w:sz w:val="24"/>
        </w:rPr>
        <w:t>is not an investigator under the relevant IDE (</w:t>
      </w:r>
      <w:r>
        <w:rPr>
          <w:i/>
          <w:sz w:val="24"/>
        </w:rPr>
        <w:t>i.e.</w:t>
      </w:r>
      <w:r>
        <w:rPr>
          <w:sz w:val="24"/>
        </w:rPr>
        <w:t>, not participating in the clinical investigation of the device).</w:t>
      </w:r>
    </w:p>
    <w:p w:rsidR="00D646E1" w:rsidRDefault="00D646E1">
      <w:pPr>
        <w:pStyle w:val="BodyText"/>
        <w:spacing w:before="1"/>
      </w:pPr>
    </w:p>
    <w:p w:rsidR="00D646E1" w:rsidRDefault="00A07DA3">
      <w:pPr>
        <w:pStyle w:val="Heading1"/>
      </w:pPr>
      <w:r>
        <w:rPr>
          <w:u w:val="single"/>
        </w:rPr>
        <w:t>POLICY/PROCEDURE:</w:t>
      </w:r>
    </w:p>
    <w:p w:rsidR="00D646E1" w:rsidRDefault="00D646E1">
      <w:pPr>
        <w:pStyle w:val="BodyText"/>
        <w:rPr>
          <w:b/>
          <w:sz w:val="16"/>
        </w:rPr>
      </w:pPr>
    </w:p>
    <w:p w:rsidR="00D646E1" w:rsidRDefault="00A07DA3">
      <w:pPr>
        <w:spacing w:before="92"/>
        <w:ind w:left="300"/>
        <w:rPr>
          <w:b/>
          <w:sz w:val="24"/>
        </w:rPr>
      </w:pPr>
      <w:r>
        <w:rPr>
          <w:b/>
          <w:sz w:val="24"/>
          <w:u w:val="single"/>
        </w:rPr>
        <w:t>Step 1: Determine whether an emergency use is appropriate.</w:t>
      </w:r>
    </w:p>
    <w:p w:rsidR="00D646E1" w:rsidRDefault="00D646E1">
      <w:pPr>
        <w:pStyle w:val="BodyText"/>
        <w:spacing w:before="1"/>
        <w:rPr>
          <w:b/>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646E1">
        <w:trPr>
          <w:trHeight w:val="275"/>
        </w:trPr>
        <w:tc>
          <w:tcPr>
            <w:tcW w:w="9576" w:type="dxa"/>
            <w:gridSpan w:val="2"/>
            <w:shd w:val="clear" w:color="auto" w:fill="D9D9D9"/>
          </w:tcPr>
          <w:p w:rsidR="00D646E1" w:rsidRDefault="00A07DA3">
            <w:pPr>
              <w:pStyle w:val="TableParagraph"/>
              <w:spacing w:line="256" w:lineRule="exact"/>
              <w:ind w:left="2753"/>
              <w:rPr>
                <w:b/>
                <w:sz w:val="24"/>
              </w:rPr>
            </w:pPr>
            <w:r>
              <w:rPr>
                <w:b/>
                <w:sz w:val="24"/>
              </w:rPr>
              <w:t>Criteria for Emergency Use of a Test Article</w:t>
            </w:r>
          </w:p>
        </w:tc>
      </w:tr>
      <w:tr w:rsidR="00D646E1">
        <w:trPr>
          <w:trHeight w:val="274"/>
        </w:trPr>
        <w:tc>
          <w:tcPr>
            <w:tcW w:w="4788" w:type="dxa"/>
            <w:shd w:val="clear" w:color="auto" w:fill="D9D9D9"/>
          </w:tcPr>
          <w:p w:rsidR="00D646E1" w:rsidRDefault="00A07DA3">
            <w:pPr>
              <w:pStyle w:val="TableParagraph"/>
              <w:spacing w:line="254" w:lineRule="exact"/>
              <w:rPr>
                <w:b/>
                <w:sz w:val="24"/>
              </w:rPr>
            </w:pPr>
            <w:r>
              <w:rPr>
                <w:b/>
                <w:sz w:val="24"/>
              </w:rPr>
              <w:t>Drug/Biologics</w:t>
            </w:r>
          </w:p>
        </w:tc>
        <w:tc>
          <w:tcPr>
            <w:tcW w:w="4788" w:type="dxa"/>
            <w:shd w:val="clear" w:color="auto" w:fill="D9D9D9"/>
          </w:tcPr>
          <w:p w:rsidR="00D646E1" w:rsidRDefault="00A07DA3">
            <w:pPr>
              <w:pStyle w:val="TableParagraph"/>
              <w:spacing w:line="254" w:lineRule="exact"/>
              <w:rPr>
                <w:b/>
                <w:sz w:val="24"/>
              </w:rPr>
            </w:pPr>
            <w:r>
              <w:rPr>
                <w:b/>
                <w:sz w:val="24"/>
              </w:rPr>
              <w:t>Devices</w:t>
            </w:r>
          </w:p>
        </w:tc>
      </w:tr>
      <w:tr w:rsidR="00D646E1">
        <w:trPr>
          <w:trHeight w:val="8571"/>
        </w:trPr>
        <w:tc>
          <w:tcPr>
            <w:tcW w:w="4788" w:type="dxa"/>
          </w:tcPr>
          <w:p w:rsidR="00D646E1" w:rsidRDefault="00A07DA3">
            <w:pPr>
              <w:pStyle w:val="TableParagraph"/>
              <w:ind w:right="690"/>
              <w:rPr>
                <w:sz w:val="24"/>
              </w:rPr>
            </w:pPr>
            <w:r>
              <w:rPr>
                <w:b/>
                <w:sz w:val="24"/>
              </w:rPr>
              <w:t xml:space="preserve">Treating Physician </w:t>
            </w:r>
            <w:r>
              <w:rPr>
                <w:sz w:val="24"/>
              </w:rPr>
              <w:t>determines that all of the following are met:</w:t>
            </w:r>
          </w:p>
          <w:p w:rsidR="00D646E1" w:rsidRDefault="00A07DA3">
            <w:pPr>
              <w:pStyle w:val="TableParagraph"/>
              <w:numPr>
                <w:ilvl w:val="0"/>
                <w:numId w:val="14"/>
              </w:numPr>
              <w:tabs>
                <w:tab w:val="left" w:pos="828"/>
              </w:tabs>
              <w:ind w:right="284"/>
              <w:rPr>
                <w:sz w:val="24"/>
              </w:rPr>
            </w:pPr>
            <w:r>
              <w:rPr>
                <w:sz w:val="24"/>
              </w:rPr>
              <w:t>Life-threatening or serious* disease or condition that needs immediate</w:t>
            </w:r>
            <w:r>
              <w:rPr>
                <w:spacing w:val="-31"/>
                <w:sz w:val="24"/>
              </w:rPr>
              <w:t xml:space="preserve"> </w:t>
            </w:r>
            <w:r>
              <w:rPr>
                <w:sz w:val="24"/>
              </w:rPr>
              <w:t>treatment;</w:t>
            </w:r>
          </w:p>
          <w:p w:rsidR="00D646E1" w:rsidRDefault="00A07DA3">
            <w:pPr>
              <w:pStyle w:val="TableParagraph"/>
              <w:numPr>
                <w:ilvl w:val="0"/>
                <w:numId w:val="14"/>
              </w:numPr>
              <w:tabs>
                <w:tab w:val="left" w:pos="828"/>
              </w:tabs>
              <w:ind w:right="588"/>
              <w:rPr>
                <w:sz w:val="24"/>
              </w:rPr>
            </w:pPr>
            <w:r>
              <w:rPr>
                <w:sz w:val="24"/>
              </w:rPr>
              <w:t>No generally acceptable alternative for treating the patient is available;</w:t>
            </w:r>
            <w:r>
              <w:rPr>
                <w:spacing w:val="-14"/>
                <w:sz w:val="24"/>
              </w:rPr>
              <w:t xml:space="preserve"> </w:t>
            </w:r>
            <w:r>
              <w:rPr>
                <w:sz w:val="24"/>
              </w:rPr>
              <w:t>and</w:t>
            </w:r>
          </w:p>
          <w:p w:rsidR="00D646E1" w:rsidRDefault="00A07DA3">
            <w:pPr>
              <w:pStyle w:val="TableParagraph"/>
              <w:numPr>
                <w:ilvl w:val="0"/>
                <w:numId w:val="14"/>
              </w:numPr>
              <w:tabs>
                <w:tab w:val="left" w:pos="828"/>
              </w:tabs>
              <w:ind w:right="293"/>
              <w:rPr>
                <w:sz w:val="24"/>
              </w:rPr>
            </w:pPr>
            <w:r>
              <w:rPr>
                <w:sz w:val="24"/>
              </w:rPr>
              <w:t>Due to the immediate need to use the test article, there is no time to follow existing procedures to obtain IRB approval prior to the</w:t>
            </w:r>
            <w:r>
              <w:rPr>
                <w:spacing w:val="-1"/>
                <w:sz w:val="24"/>
              </w:rPr>
              <w:t xml:space="preserve"> </w:t>
            </w:r>
            <w:r>
              <w:rPr>
                <w:sz w:val="24"/>
              </w:rPr>
              <w:t>use.</w:t>
            </w:r>
          </w:p>
          <w:p w:rsidR="00D646E1" w:rsidRDefault="00D646E1">
            <w:pPr>
              <w:pStyle w:val="TableParagraph"/>
              <w:ind w:left="0"/>
              <w:rPr>
                <w:b/>
                <w:sz w:val="24"/>
              </w:rPr>
            </w:pPr>
          </w:p>
          <w:p w:rsidR="00D646E1" w:rsidRDefault="00A07DA3">
            <w:pPr>
              <w:pStyle w:val="TableParagraph"/>
              <w:rPr>
                <w:b/>
                <w:sz w:val="24"/>
              </w:rPr>
            </w:pPr>
            <w:r>
              <w:rPr>
                <w:b/>
                <w:sz w:val="24"/>
              </w:rPr>
              <w:t>Additional determinations:</w:t>
            </w:r>
          </w:p>
          <w:p w:rsidR="00D646E1" w:rsidRDefault="00A07DA3">
            <w:pPr>
              <w:pStyle w:val="TableParagraph"/>
              <w:numPr>
                <w:ilvl w:val="0"/>
                <w:numId w:val="14"/>
              </w:numPr>
              <w:tabs>
                <w:tab w:val="left" w:pos="828"/>
              </w:tabs>
              <w:ind w:right="108"/>
              <w:rPr>
                <w:sz w:val="24"/>
              </w:rPr>
            </w:pPr>
            <w:r>
              <w:rPr>
                <w:sz w:val="24"/>
              </w:rPr>
              <w:t>FDA also e</w:t>
            </w:r>
            <w:r>
              <w:rPr>
                <w:sz w:val="24"/>
              </w:rPr>
              <w:t xml:space="preserve">xpects the physician to make the determination that the </w:t>
            </w:r>
            <w:r>
              <w:rPr>
                <w:b/>
                <w:sz w:val="24"/>
              </w:rPr>
              <w:t xml:space="preserve">probable risk </w:t>
            </w:r>
            <w:r>
              <w:rPr>
                <w:sz w:val="24"/>
              </w:rPr>
              <w:t>to the person from the investigational test article is not greater than the probable risk from the disease or condition. 21 CFR</w:t>
            </w:r>
            <w:r>
              <w:rPr>
                <w:spacing w:val="-29"/>
                <w:sz w:val="24"/>
              </w:rPr>
              <w:t xml:space="preserve"> </w:t>
            </w:r>
            <w:r>
              <w:rPr>
                <w:sz w:val="24"/>
              </w:rPr>
              <w:t>312.310(a)(1).</w:t>
            </w:r>
          </w:p>
          <w:p w:rsidR="00D646E1" w:rsidRDefault="00D646E1">
            <w:pPr>
              <w:pStyle w:val="TableParagraph"/>
              <w:ind w:left="0"/>
              <w:rPr>
                <w:b/>
                <w:sz w:val="24"/>
              </w:rPr>
            </w:pPr>
          </w:p>
          <w:p w:rsidR="00D646E1" w:rsidRDefault="00A07DA3">
            <w:pPr>
              <w:pStyle w:val="TableParagraph"/>
              <w:rPr>
                <w:i/>
                <w:sz w:val="24"/>
              </w:rPr>
            </w:pPr>
            <w:r>
              <w:rPr>
                <w:i/>
                <w:sz w:val="24"/>
              </w:rPr>
              <w:t>*Relevant definitions in the Drug/Biologic</w:t>
            </w:r>
            <w:r>
              <w:rPr>
                <w:i/>
                <w:sz w:val="24"/>
              </w:rPr>
              <w:t xml:space="preserve"> context:</w:t>
            </w:r>
          </w:p>
          <w:p w:rsidR="00D646E1" w:rsidRDefault="00A07DA3">
            <w:pPr>
              <w:pStyle w:val="TableParagraph"/>
              <w:numPr>
                <w:ilvl w:val="0"/>
                <w:numId w:val="13"/>
              </w:numPr>
              <w:tabs>
                <w:tab w:val="left" w:pos="827"/>
                <w:tab w:val="left" w:pos="828"/>
              </w:tabs>
              <w:ind w:right="105"/>
              <w:rPr>
                <w:i/>
                <w:sz w:val="24"/>
              </w:rPr>
            </w:pPr>
            <w:r>
              <w:rPr>
                <w:b/>
                <w:i/>
                <w:sz w:val="24"/>
              </w:rPr>
              <w:t xml:space="preserve">Immediately life-threatening disease or condition </w:t>
            </w:r>
            <w:r>
              <w:rPr>
                <w:i/>
                <w:sz w:val="24"/>
              </w:rPr>
              <w:t>means a stage of disease in which there is reasonable likelihood that death will occur within a matter of months or in which premature death is likely without early</w:t>
            </w:r>
            <w:r>
              <w:rPr>
                <w:i/>
                <w:spacing w:val="-1"/>
                <w:sz w:val="24"/>
              </w:rPr>
              <w:t xml:space="preserve"> </w:t>
            </w:r>
            <w:r>
              <w:rPr>
                <w:i/>
                <w:sz w:val="24"/>
              </w:rPr>
              <w:t>treatment.</w:t>
            </w:r>
          </w:p>
          <w:p w:rsidR="00D646E1" w:rsidRDefault="00A07DA3">
            <w:pPr>
              <w:pStyle w:val="TableParagraph"/>
              <w:numPr>
                <w:ilvl w:val="0"/>
                <w:numId w:val="13"/>
              </w:numPr>
              <w:tabs>
                <w:tab w:val="left" w:pos="827"/>
                <w:tab w:val="left" w:pos="828"/>
              </w:tabs>
              <w:ind w:right="447"/>
              <w:rPr>
                <w:i/>
                <w:sz w:val="24"/>
              </w:rPr>
            </w:pPr>
            <w:r>
              <w:rPr>
                <w:b/>
                <w:i/>
                <w:sz w:val="24"/>
              </w:rPr>
              <w:t>Serious disease or c</w:t>
            </w:r>
            <w:r>
              <w:rPr>
                <w:b/>
                <w:i/>
                <w:sz w:val="24"/>
              </w:rPr>
              <w:t xml:space="preserve">ondition </w:t>
            </w:r>
            <w:r>
              <w:rPr>
                <w:i/>
                <w:sz w:val="24"/>
              </w:rPr>
              <w:t>means a disease or condition associated with morbidity that has substantial impact</w:t>
            </w:r>
            <w:r>
              <w:rPr>
                <w:i/>
                <w:spacing w:val="-24"/>
                <w:sz w:val="24"/>
              </w:rPr>
              <w:t xml:space="preserve"> </w:t>
            </w:r>
            <w:r>
              <w:rPr>
                <w:i/>
                <w:sz w:val="24"/>
              </w:rPr>
              <w:t>on</w:t>
            </w:r>
          </w:p>
          <w:p w:rsidR="00D646E1" w:rsidRDefault="00A07DA3">
            <w:pPr>
              <w:pStyle w:val="TableParagraph"/>
              <w:ind w:left="827"/>
              <w:rPr>
                <w:i/>
                <w:sz w:val="24"/>
              </w:rPr>
            </w:pPr>
            <w:r>
              <w:rPr>
                <w:i/>
                <w:sz w:val="24"/>
              </w:rPr>
              <w:t>day-to-day functioning. Short-lived and self- limiting morbidity will usually not be</w:t>
            </w:r>
          </w:p>
          <w:p w:rsidR="00D646E1" w:rsidRDefault="00A07DA3">
            <w:pPr>
              <w:pStyle w:val="TableParagraph"/>
              <w:spacing w:line="255" w:lineRule="exact"/>
              <w:ind w:left="827"/>
              <w:rPr>
                <w:i/>
                <w:sz w:val="24"/>
              </w:rPr>
            </w:pPr>
            <w:r>
              <w:rPr>
                <w:i/>
                <w:sz w:val="24"/>
              </w:rPr>
              <w:t>sufficient, but the morbidity need not be</w:t>
            </w:r>
          </w:p>
        </w:tc>
        <w:tc>
          <w:tcPr>
            <w:tcW w:w="4788" w:type="dxa"/>
          </w:tcPr>
          <w:p w:rsidR="00D646E1" w:rsidRDefault="00A07DA3">
            <w:pPr>
              <w:pStyle w:val="TableParagraph"/>
              <w:ind w:right="690"/>
              <w:rPr>
                <w:sz w:val="24"/>
              </w:rPr>
            </w:pPr>
            <w:r>
              <w:rPr>
                <w:b/>
                <w:sz w:val="24"/>
              </w:rPr>
              <w:t xml:space="preserve">Treating Physician </w:t>
            </w:r>
            <w:r>
              <w:rPr>
                <w:sz w:val="24"/>
              </w:rPr>
              <w:t>determines that all of the following are met:</w:t>
            </w:r>
          </w:p>
          <w:p w:rsidR="00D646E1" w:rsidRDefault="00A07DA3">
            <w:pPr>
              <w:pStyle w:val="TableParagraph"/>
              <w:numPr>
                <w:ilvl w:val="0"/>
                <w:numId w:val="12"/>
              </w:numPr>
              <w:tabs>
                <w:tab w:val="left" w:pos="828"/>
              </w:tabs>
              <w:ind w:right="151"/>
              <w:rPr>
                <w:sz w:val="24"/>
              </w:rPr>
            </w:pPr>
            <w:r>
              <w:rPr>
                <w:sz w:val="24"/>
              </w:rPr>
              <w:t>The patient has a life-threatening* condition that needs immediate</w:t>
            </w:r>
            <w:r>
              <w:rPr>
                <w:spacing w:val="-4"/>
                <w:sz w:val="24"/>
              </w:rPr>
              <w:t xml:space="preserve"> </w:t>
            </w:r>
            <w:r>
              <w:rPr>
                <w:sz w:val="24"/>
              </w:rPr>
              <w:t>treatment;</w:t>
            </w:r>
          </w:p>
          <w:p w:rsidR="00D646E1" w:rsidRDefault="00A07DA3">
            <w:pPr>
              <w:pStyle w:val="TableParagraph"/>
              <w:numPr>
                <w:ilvl w:val="0"/>
                <w:numId w:val="12"/>
              </w:numPr>
              <w:tabs>
                <w:tab w:val="left" w:pos="828"/>
              </w:tabs>
              <w:ind w:right="666"/>
              <w:rPr>
                <w:sz w:val="24"/>
              </w:rPr>
            </w:pPr>
            <w:r>
              <w:rPr>
                <w:sz w:val="24"/>
              </w:rPr>
              <w:t>No generally acceptable alternative treatment for the condition exists;</w:t>
            </w:r>
            <w:r>
              <w:rPr>
                <w:spacing w:val="-27"/>
                <w:sz w:val="24"/>
              </w:rPr>
              <w:t xml:space="preserve"> </w:t>
            </w:r>
            <w:r>
              <w:rPr>
                <w:sz w:val="24"/>
              </w:rPr>
              <w:t>and</w:t>
            </w:r>
          </w:p>
          <w:p w:rsidR="00D646E1" w:rsidRDefault="00A07DA3">
            <w:pPr>
              <w:pStyle w:val="TableParagraph"/>
              <w:numPr>
                <w:ilvl w:val="0"/>
                <w:numId w:val="12"/>
              </w:numPr>
              <w:tabs>
                <w:tab w:val="left" w:pos="828"/>
              </w:tabs>
              <w:ind w:right="131"/>
              <w:rPr>
                <w:sz w:val="24"/>
              </w:rPr>
            </w:pPr>
            <w:r>
              <w:rPr>
                <w:sz w:val="24"/>
              </w:rPr>
              <w:t>Because of the immediate need to use the device, there i</w:t>
            </w:r>
            <w:r>
              <w:rPr>
                <w:sz w:val="24"/>
              </w:rPr>
              <w:t>s no time to use existing procedures to obtain IRB and FDA</w:t>
            </w:r>
            <w:r>
              <w:rPr>
                <w:spacing w:val="-27"/>
                <w:sz w:val="24"/>
              </w:rPr>
              <w:t xml:space="preserve"> </w:t>
            </w:r>
            <w:r>
              <w:rPr>
                <w:sz w:val="24"/>
              </w:rPr>
              <w:t>approval for the</w:t>
            </w:r>
            <w:r>
              <w:rPr>
                <w:spacing w:val="-1"/>
                <w:sz w:val="24"/>
              </w:rPr>
              <w:t xml:space="preserve"> </w:t>
            </w:r>
            <w:r>
              <w:rPr>
                <w:sz w:val="24"/>
              </w:rPr>
              <w:t>use.</w:t>
            </w:r>
          </w:p>
          <w:p w:rsidR="00D646E1" w:rsidRDefault="00D646E1">
            <w:pPr>
              <w:pStyle w:val="TableParagraph"/>
              <w:ind w:left="0"/>
              <w:rPr>
                <w:b/>
                <w:sz w:val="24"/>
              </w:rPr>
            </w:pPr>
          </w:p>
          <w:p w:rsidR="00D646E1" w:rsidRDefault="00A07DA3">
            <w:pPr>
              <w:pStyle w:val="TableParagraph"/>
              <w:rPr>
                <w:b/>
                <w:sz w:val="24"/>
              </w:rPr>
            </w:pPr>
            <w:r>
              <w:rPr>
                <w:b/>
                <w:sz w:val="24"/>
              </w:rPr>
              <w:t>Additional</w:t>
            </w:r>
            <w:r>
              <w:rPr>
                <w:b/>
                <w:spacing w:val="-3"/>
                <w:sz w:val="24"/>
              </w:rPr>
              <w:t xml:space="preserve"> </w:t>
            </w:r>
            <w:r>
              <w:rPr>
                <w:b/>
                <w:sz w:val="24"/>
              </w:rPr>
              <w:t>determinations:</w:t>
            </w:r>
          </w:p>
          <w:p w:rsidR="00D646E1" w:rsidRDefault="00A07DA3">
            <w:pPr>
              <w:pStyle w:val="TableParagraph"/>
              <w:numPr>
                <w:ilvl w:val="0"/>
                <w:numId w:val="12"/>
              </w:numPr>
              <w:tabs>
                <w:tab w:val="left" w:pos="828"/>
              </w:tabs>
              <w:ind w:right="316"/>
              <w:rPr>
                <w:sz w:val="24"/>
              </w:rPr>
            </w:pPr>
            <w:r>
              <w:rPr>
                <w:sz w:val="24"/>
              </w:rPr>
              <w:t xml:space="preserve">FDA also expects the physician to assess the </w:t>
            </w:r>
            <w:r>
              <w:rPr>
                <w:b/>
                <w:sz w:val="24"/>
              </w:rPr>
              <w:t xml:space="preserve">potential for benefit </w:t>
            </w:r>
            <w:r>
              <w:rPr>
                <w:sz w:val="24"/>
              </w:rPr>
              <w:t xml:space="preserve">from the use of the unapproved device, and to have </w:t>
            </w:r>
            <w:r>
              <w:rPr>
                <w:b/>
                <w:sz w:val="24"/>
              </w:rPr>
              <w:t>substantial reason to believe that benefits will</w:t>
            </w:r>
            <w:r>
              <w:rPr>
                <w:b/>
                <w:spacing w:val="-3"/>
                <w:sz w:val="24"/>
              </w:rPr>
              <w:t xml:space="preserve"> </w:t>
            </w:r>
            <w:r>
              <w:rPr>
                <w:b/>
                <w:sz w:val="24"/>
              </w:rPr>
              <w:t>exist</w:t>
            </w:r>
            <w:r>
              <w:rPr>
                <w:sz w:val="24"/>
              </w:rPr>
              <w:t>.</w:t>
            </w:r>
          </w:p>
          <w:p w:rsidR="00D646E1" w:rsidRDefault="00D646E1">
            <w:pPr>
              <w:pStyle w:val="TableParagraph"/>
              <w:ind w:left="0"/>
              <w:rPr>
                <w:b/>
                <w:sz w:val="24"/>
              </w:rPr>
            </w:pPr>
          </w:p>
          <w:p w:rsidR="00D646E1" w:rsidRDefault="00A07DA3">
            <w:pPr>
              <w:pStyle w:val="TableParagraph"/>
              <w:rPr>
                <w:i/>
                <w:sz w:val="24"/>
              </w:rPr>
            </w:pPr>
            <w:r>
              <w:rPr>
                <w:i/>
                <w:sz w:val="24"/>
              </w:rPr>
              <w:t>*Relevant definitions in the Device context:</w:t>
            </w:r>
          </w:p>
          <w:p w:rsidR="00D646E1" w:rsidRDefault="00A07DA3">
            <w:pPr>
              <w:pStyle w:val="TableParagraph"/>
              <w:numPr>
                <w:ilvl w:val="0"/>
                <w:numId w:val="11"/>
              </w:numPr>
              <w:tabs>
                <w:tab w:val="left" w:pos="827"/>
                <w:tab w:val="left" w:pos="828"/>
              </w:tabs>
              <w:ind w:right="229"/>
              <w:rPr>
                <w:i/>
                <w:sz w:val="24"/>
              </w:rPr>
            </w:pPr>
            <w:r>
              <w:rPr>
                <w:b/>
                <w:i/>
                <w:sz w:val="24"/>
              </w:rPr>
              <w:t xml:space="preserve">Life-threatening condition </w:t>
            </w:r>
            <w:r>
              <w:rPr>
                <w:i/>
                <w:sz w:val="24"/>
              </w:rPr>
              <w:t xml:space="preserve">includes </w:t>
            </w:r>
            <w:r>
              <w:rPr>
                <w:i/>
                <w:sz w:val="24"/>
              </w:rPr>
              <w:t>serious diseases or conditions such as sight-threatening and limb-threatening conditions as well as other situations involving risk of irreversible morbidity (e.g., blindness, loss of arm, leg, hand or foot, loss of hearing, paralysis or</w:t>
            </w:r>
            <w:r>
              <w:rPr>
                <w:i/>
                <w:spacing w:val="-9"/>
                <w:sz w:val="24"/>
              </w:rPr>
              <w:t xml:space="preserve"> </w:t>
            </w:r>
            <w:r>
              <w:rPr>
                <w:i/>
                <w:sz w:val="24"/>
              </w:rPr>
              <w:t>stroke).</w:t>
            </w:r>
          </w:p>
        </w:tc>
      </w:tr>
    </w:tbl>
    <w:p w:rsidR="00D646E1" w:rsidRDefault="00D646E1">
      <w:pPr>
        <w:rPr>
          <w:sz w:val="24"/>
        </w:rPr>
        <w:sectPr w:rsidR="00D646E1">
          <w:pgSz w:w="12240" w:h="15840"/>
          <w:pgMar w:top="1360" w:right="1220" w:bottom="1520" w:left="1140" w:header="0" w:footer="1223"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646E1">
        <w:trPr>
          <w:trHeight w:val="2202"/>
        </w:trPr>
        <w:tc>
          <w:tcPr>
            <w:tcW w:w="4788" w:type="dxa"/>
          </w:tcPr>
          <w:p w:rsidR="00D646E1" w:rsidRDefault="00A07DA3">
            <w:pPr>
              <w:pStyle w:val="TableParagraph"/>
              <w:ind w:left="827" w:right="129"/>
              <w:rPr>
                <w:i/>
                <w:sz w:val="24"/>
              </w:rPr>
            </w:pPr>
            <w:r>
              <w:rPr>
                <w:i/>
                <w:sz w:val="24"/>
              </w:rPr>
              <w:t>irreversible, provided it is persistent or recurrent.  Whether a disease or condition is serious is a matter of clinical judgment, based on its impact on such factors as survival, day-to-day functioning, or the likelihood that the disease, i</w:t>
            </w:r>
            <w:r>
              <w:rPr>
                <w:i/>
                <w:sz w:val="24"/>
              </w:rPr>
              <w:t>f left untreated, will progress from a less severe condition</w:t>
            </w:r>
            <w:r>
              <w:rPr>
                <w:i/>
                <w:spacing w:val="-29"/>
                <w:sz w:val="24"/>
              </w:rPr>
              <w:t xml:space="preserve"> </w:t>
            </w:r>
            <w:r>
              <w:rPr>
                <w:i/>
                <w:sz w:val="24"/>
              </w:rPr>
              <w:t>to</w:t>
            </w:r>
          </w:p>
          <w:p w:rsidR="00D646E1" w:rsidRDefault="00A07DA3">
            <w:pPr>
              <w:pStyle w:val="TableParagraph"/>
              <w:spacing w:line="255" w:lineRule="exact"/>
              <w:ind w:left="827"/>
              <w:rPr>
                <w:i/>
                <w:sz w:val="24"/>
              </w:rPr>
            </w:pPr>
            <w:r>
              <w:rPr>
                <w:i/>
                <w:sz w:val="24"/>
              </w:rPr>
              <w:t>a more serious one. 21 CFR 312.300(b).</w:t>
            </w:r>
          </w:p>
        </w:tc>
        <w:tc>
          <w:tcPr>
            <w:tcW w:w="4788" w:type="dxa"/>
          </w:tcPr>
          <w:p w:rsidR="00D646E1" w:rsidRDefault="00D646E1">
            <w:pPr>
              <w:pStyle w:val="TableParagraph"/>
              <w:ind w:left="0"/>
              <w:rPr>
                <w:rFonts w:ascii="Times New Roman"/>
              </w:rPr>
            </w:pPr>
          </w:p>
        </w:tc>
      </w:tr>
      <w:tr w:rsidR="00D646E1">
        <w:trPr>
          <w:trHeight w:val="275"/>
        </w:trPr>
        <w:tc>
          <w:tcPr>
            <w:tcW w:w="9576" w:type="dxa"/>
            <w:gridSpan w:val="2"/>
            <w:shd w:val="clear" w:color="auto" w:fill="D9D9D9"/>
          </w:tcPr>
          <w:p w:rsidR="00D646E1" w:rsidRDefault="00A07DA3">
            <w:pPr>
              <w:pStyle w:val="TableParagraph"/>
              <w:spacing w:line="255" w:lineRule="exact"/>
              <w:ind w:left="2365"/>
              <w:rPr>
                <w:b/>
                <w:sz w:val="24"/>
              </w:rPr>
            </w:pPr>
            <w:r>
              <w:rPr>
                <w:b/>
                <w:sz w:val="24"/>
              </w:rPr>
              <w:t>Criteria for Emergency Use of a Test Article (cont’d)</w:t>
            </w:r>
          </w:p>
        </w:tc>
      </w:tr>
      <w:tr w:rsidR="00D646E1">
        <w:trPr>
          <w:trHeight w:val="275"/>
        </w:trPr>
        <w:tc>
          <w:tcPr>
            <w:tcW w:w="4788" w:type="dxa"/>
            <w:shd w:val="clear" w:color="auto" w:fill="D9D9D9"/>
          </w:tcPr>
          <w:p w:rsidR="00D646E1" w:rsidRDefault="00A07DA3">
            <w:pPr>
              <w:pStyle w:val="TableParagraph"/>
              <w:spacing w:line="256" w:lineRule="exact"/>
              <w:rPr>
                <w:b/>
                <w:sz w:val="24"/>
              </w:rPr>
            </w:pPr>
            <w:r>
              <w:rPr>
                <w:b/>
                <w:sz w:val="24"/>
              </w:rPr>
              <w:t>Drugs/Biologics</w:t>
            </w:r>
          </w:p>
        </w:tc>
        <w:tc>
          <w:tcPr>
            <w:tcW w:w="4788" w:type="dxa"/>
            <w:shd w:val="clear" w:color="auto" w:fill="D9D9D9"/>
          </w:tcPr>
          <w:p w:rsidR="00D646E1" w:rsidRDefault="00A07DA3">
            <w:pPr>
              <w:pStyle w:val="TableParagraph"/>
              <w:spacing w:line="256" w:lineRule="exact"/>
              <w:rPr>
                <w:b/>
                <w:sz w:val="24"/>
              </w:rPr>
            </w:pPr>
            <w:r>
              <w:rPr>
                <w:b/>
                <w:sz w:val="24"/>
              </w:rPr>
              <w:t>Devices</w:t>
            </w:r>
          </w:p>
        </w:tc>
      </w:tr>
      <w:tr w:rsidR="00D646E1">
        <w:trPr>
          <w:trHeight w:val="6675"/>
        </w:trPr>
        <w:tc>
          <w:tcPr>
            <w:tcW w:w="4788" w:type="dxa"/>
          </w:tcPr>
          <w:p w:rsidR="00D646E1" w:rsidRDefault="00A07DA3">
            <w:pPr>
              <w:pStyle w:val="TableParagraph"/>
              <w:ind w:right="768"/>
              <w:rPr>
                <w:sz w:val="24"/>
              </w:rPr>
            </w:pPr>
            <w:r>
              <w:rPr>
                <w:b/>
                <w:sz w:val="24"/>
              </w:rPr>
              <w:t xml:space="preserve">FDA must determine </w:t>
            </w:r>
            <w:r>
              <w:rPr>
                <w:sz w:val="24"/>
              </w:rPr>
              <w:t>(based on information physician provides) that:</w:t>
            </w:r>
          </w:p>
          <w:p w:rsidR="00D646E1" w:rsidRDefault="00A07DA3">
            <w:pPr>
              <w:pStyle w:val="TableParagraph"/>
              <w:numPr>
                <w:ilvl w:val="0"/>
                <w:numId w:val="10"/>
              </w:numPr>
              <w:tabs>
                <w:tab w:val="left" w:pos="827"/>
                <w:tab w:val="left" w:pos="828"/>
              </w:tabs>
              <w:ind w:right="95"/>
              <w:rPr>
                <w:sz w:val="24"/>
              </w:rPr>
            </w:pPr>
            <w:r>
              <w:rPr>
                <w:sz w:val="24"/>
              </w:rPr>
              <w:t>The patient to be treated has a serious or immediately life-threatening disease or condition, and there is no comparable or satisfactory alternative therapy to diagnose, monitor, or treat the disease or condition; 21 CFR</w:t>
            </w:r>
            <w:r>
              <w:rPr>
                <w:spacing w:val="-1"/>
                <w:sz w:val="24"/>
              </w:rPr>
              <w:t xml:space="preserve"> </w:t>
            </w:r>
            <w:r>
              <w:rPr>
                <w:sz w:val="24"/>
              </w:rPr>
              <w:t>312.305(a)(1).</w:t>
            </w:r>
          </w:p>
          <w:p w:rsidR="00D646E1" w:rsidRDefault="00A07DA3">
            <w:pPr>
              <w:pStyle w:val="TableParagraph"/>
              <w:numPr>
                <w:ilvl w:val="0"/>
                <w:numId w:val="10"/>
              </w:numPr>
              <w:tabs>
                <w:tab w:val="left" w:pos="827"/>
                <w:tab w:val="left" w:pos="828"/>
              </w:tabs>
              <w:ind w:right="207"/>
              <w:rPr>
                <w:sz w:val="24"/>
              </w:rPr>
            </w:pPr>
            <w:r>
              <w:rPr>
                <w:sz w:val="24"/>
              </w:rPr>
              <w:t>The potential patien</w:t>
            </w:r>
            <w:r>
              <w:rPr>
                <w:sz w:val="24"/>
              </w:rPr>
              <w:t>t benefit justifies the potential risks of the treatment use and those potential risks are not unreasonable in the context of the disease or condition</w:t>
            </w:r>
            <w:r>
              <w:rPr>
                <w:spacing w:val="-28"/>
                <w:sz w:val="24"/>
              </w:rPr>
              <w:t xml:space="preserve"> </w:t>
            </w:r>
            <w:r>
              <w:rPr>
                <w:sz w:val="24"/>
              </w:rPr>
              <w:t>to be treated; 21 CFR</w:t>
            </w:r>
            <w:r>
              <w:rPr>
                <w:spacing w:val="-6"/>
                <w:sz w:val="24"/>
              </w:rPr>
              <w:t xml:space="preserve"> </w:t>
            </w:r>
            <w:r>
              <w:rPr>
                <w:sz w:val="24"/>
              </w:rPr>
              <w:t>312.305(a)(2).</w:t>
            </w:r>
          </w:p>
          <w:p w:rsidR="00D646E1" w:rsidRDefault="00A07DA3">
            <w:pPr>
              <w:pStyle w:val="TableParagraph"/>
              <w:numPr>
                <w:ilvl w:val="0"/>
                <w:numId w:val="10"/>
              </w:numPr>
              <w:tabs>
                <w:tab w:val="left" w:pos="827"/>
                <w:tab w:val="left" w:pos="828"/>
              </w:tabs>
              <w:ind w:right="207"/>
              <w:rPr>
                <w:sz w:val="24"/>
              </w:rPr>
            </w:pPr>
            <w:r>
              <w:rPr>
                <w:sz w:val="24"/>
              </w:rPr>
              <w:t>Providing the investigational test article for the requested use wil</w:t>
            </w:r>
            <w:r>
              <w:rPr>
                <w:sz w:val="24"/>
              </w:rPr>
              <w:t>l not interfere with the initiation, conduct, or completion of clinical investigations that could support marketing approval of the expanded access use or otherwise compromise the potential development of the expanded access use. 21 CFR</w:t>
            </w:r>
            <w:r>
              <w:rPr>
                <w:spacing w:val="-1"/>
                <w:sz w:val="24"/>
              </w:rPr>
              <w:t xml:space="preserve"> </w:t>
            </w:r>
            <w:r>
              <w:rPr>
                <w:sz w:val="24"/>
              </w:rPr>
              <w:t>312.305(a)(3).</w:t>
            </w:r>
          </w:p>
          <w:p w:rsidR="00D646E1" w:rsidRDefault="00A07DA3">
            <w:pPr>
              <w:pStyle w:val="TableParagraph"/>
              <w:numPr>
                <w:ilvl w:val="0"/>
                <w:numId w:val="10"/>
              </w:numPr>
              <w:tabs>
                <w:tab w:val="left" w:pos="827"/>
                <w:tab w:val="left" w:pos="828"/>
              </w:tabs>
              <w:spacing w:before="16" w:line="274" w:lineRule="exact"/>
              <w:ind w:right="447"/>
              <w:rPr>
                <w:sz w:val="24"/>
              </w:rPr>
            </w:pPr>
            <w:r>
              <w:rPr>
                <w:sz w:val="24"/>
              </w:rPr>
              <w:t xml:space="preserve">The </w:t>
            </w:r>
            <w:r>
              <w:rPr>
                <w:sz w:val="24"/>
              </w:rPr>
              <w:t>patient cannot obtain the test article under another IND or protocol. 21 CFR 312.310(a)(2).</w:t>
            </w:r>
          </w:p>
        </w:tc>
        <w:tc>
          <w:tcPr>
            <w:tcW w:w="4788" w:type="dxa"/>
          </w:tcPr>
          <w:p w:rsidR="00D646E1" w:rsidRDefault="00A07DA3">
            <w:pPr>
              <w:pStyle w:val="TableParagraph"/>
              <w:ind w:right="307"/>
              <w:rPr>
                <w:sz w:val="24"/>
              </w:rPr>
            </w:pPr>
            <w:r>
              <w:rPr>
                <w:sz w:val="24"/>
              </w:rPr>
              <w:t xml:space="preserve">An </w:t>
            </w:r>
            <w:r>
              <w:rPr>
                <w:b/>
                <w:sz w:val="24"/>
              </w:rPr>
              <w:t xml:space="preserve">uninvolved physician </w:t>
            </w:r>
            <w:r>
              <w:rPr>
                <w:sz w:val="24"/>
              </w:rPr>
              <w:t>(not participating in the emergency use) determines that all of the above emergency use criteria are met.</w:t>
            </w:r>
          </w:p>
          <w:p w:rsidR="00D646E1" w:rsidRDefault="00D646E1">
            <w:pPr>
              <w:pStyle w:val="TableParagraph"/>
              <w:spacing w:before="11"/>
              <w:ind w:left="0"/>
              <w:rPr>
                <w:b/>
                <w:sz w:val="23"/>
              </w:rPr>
            </w:pPr>
          </w:p>
          <w:p w:rsidR="00D646E1" w:rsidRDefault="00A07DA3">
            <w:pPr>
              <w:pStyle w:val="TableParagraph"/>
              <w:numPr>
                <w:ilvl w:val="0"/>
                <w:numId w:val="9"/>
              </w:numPr>
              <w:tabs>
                <w:tab w:val="left" w:pos="827"/>
                <w:tab w:val="left" w:pos="828"/>
              </w:tabs>
              <w:ind w:right="317"/>
              <w:rPr>
                <w:sz w:val="24"/>
              </w:rPr>
            </w:pPr>
            <w:r>
              <w:rPr>
                <w:b/>
                <w:sz w:val="24"/>
              </w:rPr>
              <w:t xml:space="preserve">Obtain documentation </w:t>
            </w:r>
            <w:r>
              <w:rPr>
                <w:sz w:val="24"/>
              </w:rPr>
              <w:t>of the uninvolved physician’s determination whenever possible (usually via</w:t>
            </w:r>
            <w:r>
              <w:rPr>
                <w:spacing w:val="-3"/>
                <w:sz w:val="24"/>
              </w:rPr>
              <w:t xml:space="preserve"> </w:t>
            </w:r>
            <w:r>
              <w:rPr>
                <w:sz w:val="24"/>
              </w:rPr>
              <w:t>email).</w:t>
            </w:r>
          </w:p>
          <w:p w:rsidR="00D646E1" w:rsidRDefault="00D646E1">
            <w:pPr>
              <w:pStyle w:val="TableParagraph"/>
              <w:spacing w:before="9"/>
              <w:ind w:left="0"/>
              <w:rPr>
                <w:b/>
                <w:sz w:val="23"/>
              </w:rPr>
            </w:pPr>
          </w:p>
          <w:p w:rsidR="00D646E1" w:rsidRDefault="00A07DA3">
            <w:pPr>
              <w:pStyle w:val="TableParagraph"/>
              <w:numPr>
                <w:ilvl w:val="0"/>
                <w:numId w:val="9"/>
              </w:numPr>
              <w:tabs>
                <w:tab w:val="left" w:pos="827"/>
                <w:tab w:val="left" w:pos="828"/>
              </w:tabs>
              <w:spacing w:before="1"/>
              <w:ind w:right="380"/>
              <w:rPr>
                <w:sz w:val="24"/>
              </w:rPr>
            </w:pPr>
            <w:r>
              <w:rPr>
                <w:sz w:val="24"/>
              </w:rPr>
              <w:t>If it is not possible to obtain a second opinion from an uninvolved physician (and/or documentation), the treating physician should make the determination and proceed with the emergency use process.</w:t>
            </w:r>
          </w:p>
        </w:tc>
      </w:tr>
    </w:tbl>
    <w:p w:rsidR="00D646E1" w:rsidRDefault="00D646E1">
      <w:pPr>
        <w:pStyle w:val="BodyText"/>
        <w:spacing w:before="11"/>
        <w:rPr>
          <w:b/>
          <w:sz w:val="15"/>
        </w:rPr>
      </w:pPr>
    </w:p>
    <w:p w:rsidR="00D646E1" w:rsidRDefault="00A07DA3">
      <w:pPr>
        <w:spacing w:before="92"/>
        <w:ind w:left="300"/>
        <w:rPr>
          <w:b/>
          <w:sz w:val="24"/>
        </w:rPr>
      </w:pPr>
      <w:r>
        <w:rPr>
          <w:b/>
          <w:sz w:val="24"/>
          <w:u w:val="single"/>
        </w:rPr>
        <w:t>Step 2: Take steps to obtain the investigational test a</w:t>
      </w:r>
      <w:r>
        <w:rPr>
          <w:b/>
          <w:sz w:val="24"/>
          <w:u w:val="single"/>
        </w:rPr>
        <w:t>rticle.</w:t>
      </w:r>
    </w:p>
    <w:p w:rsidR="00D646E1" w:rsidRDefault="00D646E1">
      <w:pPr>
        <w:pStyle w:val="BodyText"/>
        <w:spacing w:after="1"/>
        <w:rPr>
          <w:b/>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646E1">
        <w:trPr>
          <w:trHeight w:val="274"/>
        </w:trPr>
        <w:tc>
          <w:tcPr>
            <w:tcW w:w="4788" w:type="dxa"/>
            <w:shd w:val="clear" w:color="auto" w:fill="D9D9D9"/>
          </w:tcPr>
          <w:p w:rsidR="00D646E1" w:rsidRDefault="00A07DA3">
            <w:pPr>
              <w:pStyle w:val="TableParagraph"/>
              <w:spacing w:line="254" w:lineRule="exact"/>
              <w:rPr>
                <w:b/>
                <w:sz w:val="24"/>
              </w:rPr>
            </w:pPr>
            <w:r>
              <w:rPr>
                <w:b/>
                <w:sz w:val="24"/>
              </w:rPr>
              <w:t xml:space="preserve">To Use Drug/Biologics </w:t>
            </w:r>
            <w:r>
              <w:rPr>
                <w:rFonts w:ascii="Wingdings" w:hAnsi="Wingdings"/>
                <w:sz w:val="24"/>
              </w:rPr>
              <w:t></w:t>
            </w:r>
            <w:r>
              <w:rPr>
                <w:rFonts w:ascii="Times New Roman" w:hAnsi="Times New Roman"/>
                <w:sz w:val="24"/>
              </w:rPr>
              <w:t xml:space="preserve"> </w:t>
            </w:r>
            <w:r>
              <w:rPr>
                <w:b/>
                <w:sz w:val="24"/>
              </w:rPr>
              <w:t>IND</w:t>
            </w:r>
          </w:p>
        </w:tc>
        <w:tc>
          <w:tcPr>
            <w:tcW w:w="4788" w:type="dxa"/>
            <w:shd w:val="clear" w:color="auto" w:fill="D9D9D9"/>
          </w:tcPr>
          <w:p w:rsidR="00D646E1" w:rsidRDefault="00A07DA3">
            <w:pPr>
              <w:pStyle w:val="TableParagraph"/>
              <w:spacing w:line="254" w:lineRule="exact"/>
              <w:rPr>
                <w:b/>
                <w:sz w:val="24"/>
              </w:rPr>
            </w:pPr>
            <w:r>
              <w:rPr>
                <w:b/>
                <w:sz w:val="24"/>
              </w:rPr>
              <w:t xml:space="preserve">To Use Devices </w:t>
            </w:r>
            <w:r>
              <w:rPr>
                <w:rFonts w:ascii="Wingdings" w:hAnsi="Wingdings"/>
                <w:sz w:val="24"/>
              </w:rPr>
              <w:t></w:t>
            </w:r>
            <w:r>
              <w:rPr>
                <w:rFonts w:ascii="Times New Roman" w:hAnsi="Times New Roman"/>
                <w:sz w:val="24"/>
              </w:rPr>
              <w:t xml:space="preserve"> </w:t>
            </w:r>
            <w:r>
              <w:rPr>
                <w:b/>
                <w:sz w:val="24"/>
              </w:rPr>
              <w:t>IDE</w:t>
            </w:r>
          </w:p>
        </w:tc>
      </w:tr>
      <w:tr w:rsidR="00D646E1">
        <w:trPr>
          <w:trHeight w:val="1961"/>
        </w:trPr>
        <w:tc>
          <w:tcPr>
            <w:tcW w:w="4788" w:type="dxa"/>
          </w:tcPr>
          <w:p w:rsidR="00D646E1" w:rsidRDefault="00A07DA3">
            <w:pPr>
              <w:pStyle w:val="TableParagraph"/>
              <w:ind w:right="219"/>
              <w:rPr>
                <w:sz w:val="24"/>
              </w:rPr>
            </w:pPr>
            <w:r>
              <w:rPr>
                <w:b/>
                <w:i/>
                <w:sz w:val="24"/>
              </w:rPr>
              <w:t xml:space="preserve">Identify the sponsor: </w:t>
            </w:r>
            <w:r>
              <w:rPr>
                <w:sz w:val="24"/>
              </w:rPr>
              <w:t>There are two scenarios, depending on whether the manufacturer previously obtained an IND for the drug/biologic:</w:t>
            </w:r>
          </w:p>
          <w:p w:rsidR="00D646E1" w:rsidRDefault="00A07DA3">
            <w:pPr>
              <w:pStyle w:val="TableParagraph"/>
              <w:numPr>
                <w:ilvl w:val="0"/>
                <w:numId w:val="8"/>
              </w:numPr>
              <w:tabs>
                <w:tab w:val="left" w:pos="827"/>
                <w:tab w:val="left" w:pos="828"/>
              </w:tabs>
              <w:spacing w:before="4" w:line="237" w:lineRule="auto"/>
              <w:ind w:right="244"/>
              <w:rPr>
                <w:sz w:val="24"/>
              </w:rPr>
            </w:pPr>
            <w:r>
              <w:rPr>
                <w:sz w:val="24"/>
              </w:rPr>
              <w:t xml:space="preserve">Manufacturer has an IND </w:t>
            </w:r>
            <w:r>
              <w:rPr>
                <w:rFonts w:ascii="Wingdings" w:hAnsi="Wingdings"/>
                <w:sz w:val="24"/>
              </w:rPr>
              <w:t></w:t>
            </w:r>
            <w:r>
              <w:rPr>
                <w:rFonts w:ascii="Times New Roman" w:hAnsi="Times New Roman"/>
                <w:spacing w:val="-21"/>
                <w:sz w:val="24"/>
              </w:rPr>
              <w:t xml:space="preserve"> </w:t>
            </w:r>
            <w:r>
              <w:rPr>
                <w:sz w:val="24"/>
              </w:rPr>
              <w:t>Manufacturer serves as the “sponsor” of the emergency use.</w:t>
            </w:r>
          </w:p>
          <w:p w:rsidR="00D646E1" w:rsidRDefault="00A07DA3">
            <w:pPr>
              <w:pStyle w:val="TableParagraph"/>
              <w:numPr>
                <w:ilvl w:val="0"/>
                <w:numId w:val="8"/>
              </w:numPr>
              <w:tabs>
                <w:tab w:val="left" w:pos="827"/>
                <w:tab w:val="left" w:pos="828"/>
              </w:tabs>
              <w:spacing w:before="3" w:line="271" w:lineRule="exact"/>
              <w:rPr>
                <w:rFonts w:ascii="Wingdings" w:hAnsi="Wingdings"/>
                <w:sz w:val="24"/>
              </w:rPr>
            </w:pPr>
            <w:r>
              <w:rPr>
                <w:sz w:val="24"/>
              </w:rPr>
              <w:t>Manufacturer has no plans to get an IND</w:t>
            </w:r>
            <w:r>
              <w:rPr>
                <w:spacing w:val="-21"/>
                <w:sz w:val="24"/>
              </w:rPr>
              <w:t xml:space="preserve"> </w:t>
            </w:r>
            <w:r>
              <w:rPr>
                <w:rFonts w:ascii="Wingdings" w:hAnsi="Wingdings"/>
                <w:sz w:val="24"/>
              </w:rPr>
              <w:t></w:t>
            </w:r>
          </w:p>
        </w:tc>
        <w:tc>
          <w:tcPr>
            <w:tcW w:w="4788" w:type="dxa"/>
          </w:tcPr>
          <w:p w:rsidR="00D646E1" w:rsidRDefault="00A07DA3">
            <w:pPr>
              <w:pStyle w:val="TableParagraph"/>
              <w:ind w:right="362"/>
              <w:rPr>
                <w:sz w:val="24"/>
              </w:rPr>
            </w:pPr>
            <w:r>
              <w:rPr>
                <w:b/>
                <w:i/>
                <w:sz w:val="24"/>
              </w:rPr>
              <w:t xml:space="preserve">Identify the sponsor: </w:t>
            </w:r>
            <w:r>
              <w:rPr>
                <w:sz w:val="24"/>
              </w:rPr>
              <w:t>Generally there will be a manufacturer who has applied for an IDE and will serve as the “sponsor” of the emergency use.</w:t>
            </w:r>
          </w:p>
        </w:tc>
      </w:tr>
    </w:tbl>
    <w:p w:rsidR="00D646E1" w:rsidRDefault="00D646E1">
      <w:pPr>
        <w:rPr>
          <w:sz w:val="24"/>
        </w:rPr>
        <w:sectPr w:rsidR="00D646E1">
          <w:pgSz w:w="12240" w:h="15840"/>
          <w:pgMar w:top="1440" w:right="1220" w:bottom="1520" w:left="1140" w:header="0" w:footer="1223"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646E1">
        <w:trPr>
          <w:trHeight w:val="826"/>
        </w:trPr>
        <w:tc>
          <w:tcPr>
            <w:tcW w:w="4788" w:type="dxa"/>
          </w:tcPr>
          <w:p w:rsidR="00D646E1" w:rsidRDefault="00A07DA3">
            <w:pPr>
              <w:pStyle w:val="TableParagraph"/>
              <w:ind w:left="827" w:right="856"/>
              <w:rPr>
                <w:sz w:val="24"/>
              </w:rPr>
            </w:pPr>
            <w:r>
              <w:rPr>
                <w:sz w:val="24"/>
              </w:rPr>
              <w:t>Physician serves as the “sponsor- investigator” of the emergency use.</w:t>
            </w:r>
          </w:p>
        </w:tc>
        <w:tc>
          <w:tcPr>
            <w:tcW w:w="4788" w:type="dxa"/>
          </w:tcPr>
          <w:p w:rsidR="00D646E1" w:rsidRDefault="00D646E1">
            <w:pPr>
              <w:pStyle w:val="TableParagraph"/>
              <w:ind w:left="0"/>
              <w:rPr>
                <w:rFonts w:ascii="Times New Roman"/>
              </w:rPr>
            </w:pPr>
          </w:p>
        </w:tc>
      </w:tr>
      <w:tr w:rsidR="00D646E1">
        <w:trPr>
          <w:trHeight w:val="826"/>
        </w:trPr>
        <w:tc>
          <w:tcPr>
            <w:tcW w:w="4788" w:type="dxa"/>
          </w:tcPr>
          <w:p w:rsidR="00D646E1" w:rsidRDefault="00A07DA3">
            <w:pPr>
              <w:pStyle w:val="TableParagraph"/>
              <w:spacing w:line="275" w:lineRule="exact"/>
              <w:rPr>
                <w:sz w:val="24"/>
              </w:rPr>
            </w:pPr>
            <w:r>
              <w:rPr>
                <w:b/>
                <w:i/>
                <w:sz w:val="24"/>
              </w:rPr>
              <w:t xml:space="preserve">Contact the manufacturer/sponsor </w:t>
            </w:r>
            <w:r>
              <w:rPr>
                <w:sz w:val="24"/>
              </w:rPr>
              <w:t>to determine</w:t>
            </w:r>
          </w:p>
          <w:p w:rsidR="00D646E1" w:rsidRDefault="00A07DA3">
            <w:pPr>
              <w:pStyle w:val="TableParagraph"/>
              <w:spacing w:before="6" w:line="274" w:lineRule="exact"/>
              <w:ind w:right="1347"/>
              <w:rPr>
                <w:sz w:val="24"/>
              </w:rPr>
            </w:pPr>
            <w:r>
              <w:rPr>
                <w:sz w:val="24"/>
              </w:rPr>
              <w:t>whether they are willing to provide the investigational drug/biologic.</w:t>
            </w:r>
          </w:p>
        </w:tc>
        <w:tc>
          <w:tcPr>
            <w:tcW w:w="4788" w:type="dxa"/>
          </w:tcPr>
          <w:p w:rsidR="00D646E1" w:rsidRDefault="00A07DA3">
            <w:pPr>
              <w:pStyle w:val="TableParagraph"/>
              <w:ind w:right="407"/>
              <w:rPr>
                <w:sz w:val="24"/>
              </w:rPr>
            </w:pPr>
            <w:r>
              <w:rPr>
                <w:b/>
                <w:i/>
                <w:sz w:val="24"/>
              </w:rPr>
              <w:t xml:space="preserve">Contact the sponsor </w:t>
            </w:r>
            <w:r>
              <w:rPr>
                <w:sz w:val="24"/>
              </w:rPr>
              <w:t>to determine whether they are willing to provide the investigational device.</w:t>
            </w:r>
          </w:p>
        </w:tc>
      </w:tr>
      <w:tr w:rsidR="00D646E1">
        <w:trPr>
          <w:trHeight w:val="4712"/>
        </w:trPr>
        <w:tc>
          <w:tcPr>
            <w:tcW w:w="4788" w:type="dxa"/>
          </w:tcPr>
          <w:p w:rsidR="00D646E1" w:rsidRDefault="00A07DA3">
            <w:pPr>
              <w:pStyle w:val="TableParagraph"/>
              <w:spacing w:line="272" w:lineRule="exact"/>
              <w:rPr>
                <w:b/>
                <w:i/>
                <w:sz w:val="24"/>
              </w:rPr>
            </w:pPr>
            <w:r>
              <w:rPr>
                <w:b/>
                <w:i/>
                <w:sz w:val="24"/>
              </w:rPr>
              <w:t>Contact the FDA for an Emergency IND:</w:t>
            </w:r>
          </w:p>
          <w:p w:rsidR="00D646E1" w:rsidRDefault="00A07DA3">
            <w:pPr>
              <w:pStyle w:val="TableParagraph"/>
              <w:numPr>
                <w:ilvl w:val="0"/>
                <w:numId w:val="7"/>
              </w:numPr>
              <w:tabs>
                <w:tab w:val="left" w:pos="827"/>
                <w:tab w:val="left" w:pos="828"/>
              </w:tabs>
              <w:spacing w:before="1"/>
              <w:ind w:right="99"/>
              <w:rPr>
                <w:sz w:val="24"/>
              </w:rPr>
            </w:pPr>
            <w:r>
              <w:rPr>
                <w:sz w:val="24"/>
              </w:rPr>
              <w:t>If the manufacturer will serve as the “sponsor,” manufacturer/sponsor will</w:t>
            </w:r>
            <w:r>
              <w:rPr>
                <w:spacing w:val="-32"/>
                <w:sz w:val="24"/>
              </w:rPr>
              <w:t xml:space="preserve"> </w:t>
            </w:r>
            <w:r>
              <w:rPr>
                <w:sz w:val="24"/>
              </w:rPr>
              <w:t>usually contact the FDA on the physician’s behalf for approval of an emergency</w:t>
            </w:r>
            <w:r>
              <w:rPr>
                <w:spacing w:val="-6"/>
                <w:sz w:val="24"/>
              </w:rPr>
              <w:t xml:space="preserve"> </w:t>
            </w:r>
            <w:r>
              <w:rPr>
                <w:sz w:val="24"/>
              </w:rPr>
              <w:t>IND.</w:t>
            </w:r>
          </w:p>
          <w:p w:rsidR="00D646E1" w:rsidRDefault="00A07DA3">
            <w:pPr>
              <w:pStyle w:val="TableParagraph"/>
              <w:numPr>
                <w:ilvl w:val="0"/>
                <w:numId w:val="7"/>
              </w:numPr>
              <w:tabs>
                <w:tab w:val="left" w:pos="827"/>
                <w:tab w:val="left" w:pos="828"/>
              </w:tabs>
              <w:ind w:right="239"/>
              <w:rPr>
                <w:sz w:val="24"/>
              </w:rPr>
            </w:pPr>
            <w:r>
              <w:rPr>
                <w:sz w:val="24"/>
              </w:rPr>
              <w:t>If the physician will serve as the “sponsor,” the physician contacts the FDA directly to obtain an emergency IND. An emergency use may be requested by telephone, facsimile,</w:t>
            </w:r>
            <w:r>
              <w:rPr>
                <w:sz w:val="24"/>
              </w:rPr>
              <w:t xml:space="preserve"> or other means of electronic communications. Contact information is provided</w:t>
            </w:r>
            <w:r>
              <w:rPr>
                <w:spacing w:val="-1"/>
                <w:sz w:val="24"/>
              </w:rPr>
              <w:t xml:space="preserve"> </w:t>
            </w:r>
            <w:r>
              <w:rPr>
                <w:sz w:val="24"/>
              </w:rPr>
              <w:t>below.</w:t>
            </w:r>
          </w:p>
          <w:p w:rsidR="00D646E1" w:rsidRDefault="00A07DA3">
            <w:pPr>
              <w:pStyle w:val="TableParagraph"/>
              <w:numPr>
                <w:ilvl w:val="0"/>
                <w:numId w:val="7"/>
              </w:numPr>
              <w:tabs>
                <w:tab w:val="left" w:pos="827"/>
                <w:tab w:val="left" w:pos="828"/>
              </w:tabs>
              <w:ind w:right="173"/>
              <w:rPr>
                <w:sz w:val="24"/>
              </w:rPr>
            </w:pPr>
            <w:r>
              <w:rPr>
                <w:sz w:val="24"/>
              </w:rPr>
              <w:t>The physician or sponsor must explain how the expanded access use will meet the above criteria for emergency</w:t>
            </w:r>
            <w:r>
              <w:rPr>
                <w:spacing w:val="-1"/>
                <w:sz w:val="24"/>
              </w:rPr>
              <w:t xml:space="preserve"> </w:t>
            </w:r>
            <w:r>
              <w:rPr>
                <w:sz w:val="24"/>
              </w:rPr>
              <w:t>use.</w:t>
            </w:r>
          </w:p>
        </w:tc>
        <w:tc>
          <w:tcPr>
            <w:tcW w:w="4788" w:type="dxa"/>
          </w:tcPr>
          <w:p w:rsidR="00D646E1" w:rsidRDefault="00A07DA3">
            <w:pPr>
              <w:pStyle w:val="TableParagraph"/>
              <w:ind w:right="157"/>
              <w:rPr>
                <w:b/>
                <w:i/>
                <w:sz w:val="24"/>
              </w:rPr>
            </w:pPr>
            <w:r>
              <w:rPr>
                <w:b/>
                <w:i/>
                <w:sz w:val="24"/>
              </w:rPr>
              <w:t xml:space="preserve">Not Required to Contact the FDA in Advance for </w:t>
            </w:r>
            <w:r>
              <w:rPr>
                <w:b/>
                <w:i/>
                <w:sz w:val="24"/>
              </w:rPr>
              <w:t>an Emergency IDE:</w:t>
            </w:r>
          </w:p>
          <w:p w:rsidR="00D646E1" w:rsidRDefault="00A07DA3">
            <w:pPr>
              <w:pStyle w:val="TableParagraph"/>
              <w:numPr>
                <w:ilvl w:val="0"/>
                <w:numId w:val="6"/>
              </w:numPr>
              <w:tabs>
                <w:tab w:val="left" w:pos="827"/>
                <w:tab w:val="left" w:pos="828"/>
              </w:tabs>
              <w:ind w:right="445"/>
              <w:rPr>
                <w:sz w:val="24"/>
              </w:rPr>
            </w:pPr>
            <w:r>
              <w:rPr>
                <w:sz w:val="24"/>
              </w:rPr>
              <w:t xml:space="preserve">For devices, prior FDA approval for shipment or emergency use of an investigational device is </w:t>
            </w:r>
            <w:r>
              <w:rPr>
                <w:sz w:val="24"/>
                <w:u w:val="single"/>
              </w:rPr>
              <w:t>not</w:t>
            </w:r>
            <w:r>
              <w:rPr>
                <w:sz w:val="24"/>
              </w:rPr>
              <w:t xml:space="preserve"> required. 21 CFR</w:t>
            </w:r>
            <w:r>
              <w:rPr>
                <w:spacing w:val="-1"/>
                <w:sz w:val="24"/>
              </w:rPr>
              <w:t xml:space="preserve"> </w:t>
            </w:r>
            <w:r>
              <w:rPr>
                <w:sz w:val="24"/>
              </w:rPr>
              <w:t>812.35(a)(2).</w:t>
            </w:r>
          </w:p>
          <w:p w:rsidR="00D646E1" w:rsidRDefault="00A07DA3">
            <w:pPr>
              <w:pStyle w:val="TableParagraph"/>
              <w:numPr>
                <w:ilvl w:val="0"/>
                <w:numId w:val="6"/>
              </w:numPr>
              <w:tabs>
                <w:tab w:val="left" w:pos="827"/>
                <w:tab w:val="left" w:pos="828"/>
              </w:tabs>
              <w:ind w:right="118"/>
              <w:rPr>
                <w:sz w:val="24"/>
              </w:rPr>
            </w:pPr>
            <w:r>
              <w:rPr>
                <w:sz w:val="24"/>
              </w:rPr>
              <w:t>Treating physician may contact the Office of Device Evaluation (ODE) at FDA to discuss his/her patient’s cond</w:t>
            </w:r>
            <w:r>
              <w:rPr>
                <w:sz w:val="24"/>
              </w:rPr>
              <w:t xml:space="preserve">ition. In this situation, ODE acts in an </w:t>
            </w:r>
            <w:r>
              <w:rPr>
                <w:i/>
                <w:sz w:val="24"/>
              </w:rPr>
              <w:t xml:space="preserve">advisory </w:t>
            </w:r>
            <w:r>
              <w:rPr>
                <w:sz w:val="24"/>
              </w:rPr>
              <w:t xml:space="preserve">role, rather than in an </w:t>
            </w:r>
            <w:r>
              <w:rPr>
                <w:i/>
                <w:sz w:val="24"/>
              </w:rPr>
              <w:t xml:space="preserve">approving </w:t>
            </w:r>
            <w:r>
              <w:rPr>
                <w:sz w:val="24"/>
              </w:rPr>
              <w:t>role. The responsibility for making the decision as to whether the situation meets the emergency use criteria and whether the investigational device should be used lies wit</w:t>
            </w:r>
            <w:r>
              <w:rPr>
                <w:sz w:val="24"/>
              </w:rPr>
              <w:t>h the treating physician. Contact information is</w:t>
            </w:r>
            <w:r>
              <w:rPr>
                <w:spacing w:val="-22"/>
                <w:sz w:val="24"/>
              </w:rPr>
              <w:t xml:space="preserve"> </w:t>
            </w:r>
            <w:r>
              <w:rPr>
                <w:sz w:val="24"/>
              </w:rPr>
              <w:t>provided</w:t>
            </w:r>
          </w:p>
          <w:p w:rsidR="00D646E1" w:rsidRDefault="00A07DA3">
            <w:pPr>
              <w:pStyle w:val="TableParagraph"/>
              <w:spacing w:line="253" w:lineRule="exact"/>
              <w:ind w:left="827"/>
              <w:rPr>
                <w:sz w:val="24"/>
              </w:rPr>
            </w:pPr>
            <w:r>
              <w:rPr>
                <w:sz w:val="24"/>
              </w:rPr>
              <w:t>below.</w:t>
            </w:r>
          </w:p>
        </w:tc>
      </w:tr>
      <w:tr w:rsidR="00D646E1">
        <w:trPr>
          <w:trHeight w:val="826"/>
        </w:trPr>
        <w:tc>
          <w:tcPr>
            <w:tcW w:w="4788" w:type="dxa"/>
          </w:tcPr>
          <w:p w:rsidR="00D646E1" w:rsidRDefault="00A07DA3">
            <w:pPr>
              <w:pStyle w:val="TableParagraph"/>
              <w:ind w:right="89"/>
              <w:rPr>
                <w:sz w:val="24"/>
              </w:rPr>
            </w:pPr>
            <w:r>
              <w:rPr>
                <w:sz w:val="24"/>
              </w:rPr>
              <w:t>The FDA usually provides a new IND number for the specific emergency use.</w:t>
            </w:r>
          </w:p>
        </w:tc>
        <w:tc>
          <w:tcPr>
            <w:tcW w:w="4788" w:type="dxa"/>
          </w:tcPr>
          <w:p w:rsidR="00D646E1" w:rsidRDefault="00A07DA3">
            <w:pPr>
              <w:pStyle w:val="TableParagraph"/>
              <w:spacing w:line="275" w:lineRule="exact"/>
              <w:rPr>
                <w:sz w:val="24"/>
              </w:rPr>
            </w:pPr>
            <w:r>
              <w:rPr>
                <w:sz w:val="24"/>
              </w:rPr>
              <w:t>If no IDE exists, the physician should follow the</w:t>
            </w:r>
          </w:p>
          <w:p w:rsidR="00D646E1" w:rsidRDefault="00A07DA3">
            <w:pPr>
              <w:pStyle w:val="TableParagraph"/>
              <w:spacing w:before="6" w:line="274" w:lineRule="exact"/>
              <w:ind w:right="175"/>
              <w:rPr>
                <w:sz w:val="24"/>
              </w:rPr>
            </w:pPr>
            <w:r>
              <w:rPr>
                <w:sz w:val="24"/>
              </w:rPr>
              <w:t>above procedures and report the emergency use to CDRH as directed in Step 6.</w:t>
            </w:r>
          </w:p>
        </w:tc>
      </w:tr>
    </w:tbl>
    <w:p w:rsidR="00D646E1" w:rsidRDefault="00D646E1">
      <w:pPr>
        <w:pStyle w:val="BodyText"/>
        <w:rPr>
          <w:b/>
          <w:sz w:val="20"/>
        </w:rPr>
      </w:pPr>
    </w:p>
    <w:p w:rsidR="00D646E1" w:rsidRDefault="00D646E1">
      <w:pPr>
        <w:pStyle w:val="BodyText"/>
        <w:rPr>
          <w:b/>
          <w:sz w:val="20"/>
        </w:rPr>
      </w:pPr>
    </w:p>
    <w:p w:rsidR="00D646E1" w:rsidRDefault="00D646E1">
      <w:pPr>
        <w:pStyle w:val="BodyText"/>
        <w:rPr>
          <w:b/>
          <w:sz w:val="20"/>
        </w:rPr>
      </w:pPr>
    </w:p>
    <w:p w:rsidR="00D646E1" w:rsidRDefault="00D646E1">
      <w:pPr>
        <w:pStyle w:val="BodyText"/>
        <w:rPr>
          <w:b/>
          <w:sz w:val="12"/>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6948"/>
      </w:tblGrid>
      <w:tr w:rsidR="00D646E1">
        <w:trPr>
          <w:trHeight w:val="550"/>
        </w:trPr>
        <w:tc>
          <w:tcPr>
            <w:tcW w:w="2340" w:type="dxa"/>
            <w:shd w:val="clear" w:color="auto" w:fill="D9D9D9"/>
          </w:tcPr>
          <w:p w:rsidR="00D646E1" w:rsidRDefault="00A07DA3">
            <w:pPr>
              <w:pStyle w:val="TableParagraph"/>
              <w:spacing w:before="5" w:line="274" w:lineRule="exact"/>
              <w:ind w:right="507"/>
              <w:rPr>
                <w:sz w:val="24"/>
              </w:rPr>
            </w:pPr>
            <w:r>
              <w:rPr>
                <w:sz w:val="24"/>
              </w:rPr>
              <w:t>Type of Test Article (Branch)</w:t>
            </w:r>
          </w:p>
        </w:tc>
        <w:tc>
          <w:tcPr>
            <w:tcW w:w="6948" w:type="dxa"/>
            <w:shd w:val="clear" w:color="auto" w:fill="D9D9D9"/>
          </w:tcPr>
          <w:p w:rsidR="00D646E1" w:rsidRDefault="00A07DA3">
            <w:pPr>
              <w:pStyle w:val="TableParagraph"/>
              <w:spacing w:before="137"/>
              <w:rPr>
                <w:sz w:val="24"/>
              </w:rPr>
            </w:pPr>
            <w:r>
              <w:rPr>
                <w:sz w:val="24"/>
              </w:rPr>
              <w:t>FDA Office/Division to Contact</w:t>
            </w:r>
          </w:p>
        </w:tc>
      </w:tr>
      <w:tr w:rsidR="00D646E1">
        <w:trPr>
          <w:trHeight w:val="823"/>
        </w:trPr>
        <w:tc>
          <w:tcPr>
            <w:tcW w:w="2340" w:type="dxa"/>
          </w:tcPr>
          <w:p w:rsidR="00D646E1" w:rsidRDefault="00A07DA3">
            <w:pPr>
              <w:pStyle w:val="TableParagraph"/>
              <w:spacing w:before="134"/>
              <w:ind w:right="1514"/>
              <w:rPr>
                <w:sz w:val="24"/>
              </w:rPr>
            </w:pPr>
            <w:r>
              <w:rPr>
                <w:sz w:val="24"/>
              </w:rPr>
              <w:t>Drugs (CDER)</w:t>
            </w:r>
          </w:p>
        </w:tc>
        <w:tc>
          <w:tcPr>
            <w:tcW w:w="6948" w:type="dxa"/>
          </w:tcPr>
          <w:p w:rsidR="00D646E1" w:rsidRDefault="00A07DA3">
            <w:pPr>
              <w:pStyle w:val="TableParagraph"/>
              <w:spacing w:line="272" w:lineRule="exact"/>
              <w:rPr>
                <w:sz w:val="24"/>
              </w:rPr>
            </w:pPr>
            <w:r>
              <w:rPr>
                <w:sz w:val="24"/>
              </w:rPr>
              <w:t>Division of Drug Information</w:t>
            </w:r>
          </w:p>
          <w:p w:rsidR="00D646E1" w:rsidRDefault="00A07DA3">
            <w:pPr>
              <w:pStyle w:val="TableParagraph"/>
              <w:spacing w:line="275" w:lineRule="exact"/>
              <w:rPr>
                <w:sz w:val="24"/>
              </w:rPr>
            </w:pPr>
            <w:r>
              <w:rPr>
                <w:sz w:val="24"/>
              </w:rPr>
              <w:t>1-855-543-3784 or 1-301-796-3400</w:t>
            </w:r>
          </w:p>
          <w:p w:rsidR="00D646E1" w:rsidRDefault="00A07DA3">
            <w:pPr>
              <w:pStyle w:val="TableParagraph"/>
              <w:spacing w:line="256" w:lineRule="exact"/>
              <w:rPr>
                <w:sz w:val="24"/>
              </w:rPr>
            </w:pPr>
            <w:r>
              <w:rPr>
                <w:sz w:val="24"/>
              </w:rPr>
              <w:t xml:space="preserve">Email: </w:t>
            </w:r>
            <w:hyperlink r:id="rId8">
              <w:r>
                <w:rPr>
                  <w:color w:val="0000FF"/>
                  <w:sz w:val="24"/>
                  <w:u w:val="single" w:color="0000FF"/>
                </w:rPr>
                <w:t>druginf</w:t>
              </w:r>
            </w:hyperlink>
            <w:hyperlink r:id="rId9">
              <w:r>
                <w:rPr>
                  <w:color w:val="0000FF"/>
                  <w:sz w:val="24"/>
                  <w:u w:val="single" w:color="0000FF"/>
                </w:rPr>
                <w:t>o@fda.hhs.gov</w:t>
              </w:r>
            </w:hyperlink>
          </w:p>
        </w:tc>
      </w:tr>
      <w:tr w:rsidR="00D646E1">
        <w:trPr>
          <w:trHeight w:val="826"/>
        </w:trPr>
        <w:tc>
          <w:tcPr>
            <w:tcW w:w="2340" w:type="dxa"/>
          </w:tcPr>
          <w:p w:rsidR="00D646E1" w:rsidRDefault="00A07DA3">
            <w:pPr>
              <w:pStyle w:val="TableParagraph"/>
              <w:spacing w:before="137"/>
              <w:ind w:right="1415"/>
              <w:rPr>
                <w:sz w:val="24"/>
              </w:rPr>
            </w:pPr>
            <w:r>
              <w:rPr>
                <w:sz w:val="24"/>
              </w:rPr>
              <w:t>Biologics (CBER)</w:t>
            </w:r>
          </w:p>
        </w:tc>
        <w:tc>
          <w:tcPr>
            <w:tcW w:w="6948" w:type="dxa"/>
          </w:tcPr>
          <w:p w:rsidR="00D646E1" w:rsidRDefault="00A07DA3">
            <w:pPr>
              <w:pStyle w:val="TableParagraph"/>
              <w:ind w:right="2155"/>
              <w:rPr>
                <w:sz w:val="24"/>
              </w:rPr>
            </w:pPr>
            <w:r>
              <w:rPr>
                <w:sz w:val="24"/>
              </w:rPr>
              <w:t>Office of Communication, Outreach and Development 1-800-835-4709 or 1-204-402-8010</w:t>
            </w:r>
          </w:p>
          <w:p w:rsidR="00D646E1" w:rsidRDefault="00A07DA3">
            <w:pPr>
              <w:pStyle w:val="TableParagraph"/>
              <w:spacing w:line="256" w:lineRule="exact"/>
              <w:rPr>
                <w:sz w:val="24"/>
              </w:rPr>
            </w:pPr>
            <w:r>
              <w:rPr>
                <w:sz w:val="24"/>
              </w:rPr>
              <w:t xml:space="preserve">Email: </w:t>
            </w:r>
            <w:hyperlink r:id="rId10">
              <w:r>
                <w:rPr>
                  <w:color w:val="0000FF"/>
                  <w:sz w:val="24"/>
                  <w:u w:val="single" w:color="0000FF"/>
                </w:rPr>
                <w:t>ocod@fda.hhs.gov</w:t>
              </w:r>
            </w:hyperlink>
          </w:p>
        </w:tc>
      </w:tr>
      <w:tr w:rsidR="00D646E1">
        <w:trPr>
          <w:trHeight w:val="825"/>
        </w:trPr>
        <w:tc>
          <w:tcPr>
            <w:tcW w:w="2340" w:type="dxa"/>
          </w:tcPr>
          <w:p w:rsidR="00D646E1" w:rsidRDefault="00A07DA3">
            <w:pPr>
              <w:pStyle w:val="TableParagraph"/>
              <w:spacing w:before="137"/>
              <w:ind w:right="1503"/>
              <w:rPr>
                <w:sz w:val="24"/>
              </w:rPr>
            </w:pPr>
            <w:r>
              <w:rPr>
                <w:sz w:val="24"/>
              </w:rPr>
              <w:t>Devices (CDRH)</w:t>
            </w:r>
          </w:p>
        </w:tc>
        <w:tc>
          <w:tcPr>
            <w:tcW w:w="6948" w:type="dxa"/>
          </w:tcPr>
          <w:p w:rsidR="00D646E1" w:rsidRDefault="00A07DA3">
            <w:pPr>
              <w:pStyle w:val="TableParagraph"/>
              <w:ind w:right="2124"/>
              <w:rPr>
                <w:sz w:val="24"/>
              </w:rPr>
            </w:pPr>
            <w:r>
              <w:rPr>
                <w:sz w:val="24"/>
              </w:rPr>
              <w:t>Office of Device Evaluation, Program Operations Staff 1-800-638-2041 or 1-301-796-7100</w:t>
            </w:r>
          </w:p>
          <w:p w:rsidR="00D646E1" w:rsidRDefault="00A07DA3">
            <w:pPr>
              <w:pStyle w:val="TableParagraph"/>
              <w:spacing w:line="255" w:lineRule="exact"/>
              <w:rPr>
                <w:sz w:val="24"/>
              </w:rPr>
            </w:pPr>
            <w:r>
              <w:rPr>
                <w:sz w:val="24"/>
              </w:rPr>
              <w:t xml:space="preserve">Email: </w:t>
            </w:r>
            <w:hyperlink r:id="rId11">
              <w:r>
                <w:rPr>
                  <w:color w:val="0000FF"/>
                  <w:sz w:val="24"/>
                  <w:u w:val="single" w:color="0000FF"/>
                </w:rPr>
                <w:t>DICE@fda.hhs.gov</w:t>
              </w:r>
            </w:hyperlink>
          </w:p>
        </w:tc>
      </w:tr>
      <w:tr w:rsidR="00D646E1">
        <w:trPr>
          <w:trHeight w:val="826"/>
        </w:trPr>
        <w:tc>
          <w:tcPr>
            <w:tcW w:w="2340" w:type="dxa"/>
          </w:tcPr>
          <w:p w:rsidR="00D646E1" w:rsidRDefault="00A07DA3">
            <w:pPr>
              <w:pStyle w:val="TableParagraph"/>
              <w:ind w:right="321"/>
              <w:rPr>
                <w:sz w:val="24"/>
              </w:rPr>
            </w:pPr>
            <w:r>
              <w:rPr>
                <w:sz w:val="24"/>
              </w:rPr>
              <w:t>All Products, after normal working hours</w:t>
            </w:r>
          </w:p>
          <w:p w:rsidR="00D646E1" w:rsidRDefault="00A07DA3">
            <w:pPr>
              <w:pStyle w:val="TableParagraph"/>
              <w:spacing w:line="255" w:lineRule="exact"/>
              <w:rPr>
                <w:sz w:val="24"/>
              </w:rPr>
            </w:pPr>
            <w:r>
              <w:rPr>
                <w:sz w:val="24"/>
              </w:rPr>
              <w:t>(8am – 4:30pm ET)</w:t>
            </w:r>
          </w:p>
        </w:tc>
        <w:tc>
          <w:tcPr>
            <w:tcW w:w="6948" w:type="dxa"/>
          </w:tcPr>
          <w:p w:rsidR="00D646E1" w:rsidRDefault="00A07DA3">
            <w:pPr>
              <w:pStyle w:val="TableParagraph"/>
              <w:spacing w:line="275" w:lineRule="exact"/>
              <w:rPr>
                <w:sz w:val="24"/>
              </w:rPr>
            </w:pPr>
            <w:r>
              <w:rPr>
                <w:sz w:val="24"/>
              </w:rPr>
              <w:t>FDA Emergency Call Center</w:t>
            </w:r>
          </w:p>
          <w:p w:rsidR="00D646E1" w:rsidRDefault="00A07DA3">
            <w:pPr>
              <w:pStyle w:val="TableParagraph"/>
              <w:spacing w:line="275" w:lineRule="exact"/>
              <w:rPr>
                <w:sz w:val="24"/>
              </w:rPr>
            </w:pPr>
            <w:r>
              <w:rPr>
                <w:sz w:val="24"/>
              </w:rPr>
              <w:t>1-866-300-4374 or 301-796-8240</w:t>
            </w:r>
          </w:p>
        </w:tc>
      </w:tr>
    </w:tbl>
    <w:p w:rsidR="00D646E1" w:rsidRDefault="00D646E1">
      <w:pPr>
        <w:spacing w:line="275" w:lineRule="exact"/>
        <w:rPr>
          <w:sz w:val="24"/>
        </w:rPr>
        <w:sectPr w:rsidR="00D646E1">
          <w:pgSz w:w="12240" w:h="15840"/>
          <w:pgMar w:top="1440" w:right="1220" w:bottom="1420" w:left="1140" w:header="0" w:footer="1223" w:gutter="0"/>
          <w:cols w:space="720"/>
        </w:sectPr>
      </w:pPr>
    </w:p>
    <w:p w:rsidR="00D646E1" w:rsidRDefault="00A07DA3">
      <w:pPr>
        <w:spacing w:before="79"/>
        <w:ind w:left="300"/>
        <w:rPr>
          <w:b/>
          <w:sz w:val="24"/>
        </w:rPr>
      </w:pPr>
      <w:r>
        <w:rPr>
          <w:b/>
          <w:sz w:val="24"/>
          <w:u w:val="single"/>
        </w:rPr>
        <w:t>Step 3: Follow as many patient protection measures as possible.</w:t>
      </w:r>
    </w:p>
    <w:p w:rsidR="00D646E1" w:rsidRDefault="00D646E1">
      <w:pPr>
        <w:pStyle w:val="BodyText"/>
        <w:spacing w:before="11"/>
        <w:rPr>
          <w:b/>
          <w:sz w:val="15"/>
        </w:rPr>
      </w:pPr>
    </w:p>
    <w:p w:rsidR="00D646E1" w:rsidRDefault="00A07DA3">
      <w:pPr>
        <w:pStyle w:val="Heading2"/>
        <w:spacing w:before="93"/>
        <w:ind w:right="613"/>
      </w:pPr>
      <w:r>
        <w:t xml:space="preserve">Patient care should not be compromised in the event there is insufficient time to complete all of </w:t>
      </w:r>
      <w:r>
        <w:t>these measures:</w:t>
      </w:r>
    </w:p>
    <w:p w:rsidR="00D646E1" w:rsidRDefault="00D646E1">
      <w:pPr>
        <w:pStyle w:val="BodyText"/>
        <w:spacing w:before="10"/>
        <w:rPr>
          <w:b/>
          <w:i/>
          <w:sz w:val="23"/>
        </w:rPr>
      </w:pPr>
    </w:p>
    <w:p w:rsidR="00D646E1" w:rsidRDefault="00A07DA3">
      <w:pPr>
        <w:pStyle w:val="ListParagraph"/>
        <w:numPr>
          <w:ilvl w:val="0"/>
          <w:numId w:val="5"/>
        </w:numPr>
        <w:tabs>
          <w:tab w:val="left" w:pos="660"/>
        </w:tabs>
        <w:rPr>
          <w:b/>
          <w:sz w:val="24"/>
        </w:rPr>
      </w:pPr>
      <w:r>
        <w:rPr>
          <w:b/>
          <w:sz w:val="24"/>
        </w:rPr>
        <w:t>Concurrence of the Institutional Review Board Chair or</w:t>
      </w:r>
      <w:r>
        <w:rPr>
          <w:b/>
          <w:spacing w:val="-5"/>
          <w:sz w:val="24"/>
        </w:rPr>
        <w:t xml:space="preserve"> </w:t>
      </w:r>
      <w:r>
        <w:rPr>
          <w:b/>
          <w:sz w:val="24"/>
        </w:rPr>
        <w:t>designee.</w:t>
      </w:r>
    </w:p>
    <w:p w:rsidR="00D646E1" w:rsidRDefault="00A07DA3">
      <w:pPr>
        <w:pStyle w:val="ListParagraph"/>
        <w:numPr>
          <w:ilvl w:val="1"/>
          <w:numId w:val="5"/>
        </w:numPr>
        <w:tabs>
          <w:tab w:val="left" w:pos="1379"/>
          <w:tab w:val="left" w:pos="1380"/>
        </w:tabs>
        <w:spacing w:before="4" w:line="237" w:lineRule="auto"/>
        <w:ind w:right="730"/>
        <w:rPr>
          <w:sz w:val="24"/>
        </w:rPr>
      </w:pPr>
      <w:r>
        <w:rPr>
          <w:sz w:val="24"/>
        </w:rPr>
        <w:t xml:space="preserve">Please </w:t>
      </w:r>
      <w:r>
        <w:rPr>
          <w:b/>
          <w:sz w:val="24"/>
        </w:rPr>
        <w:t xml:space="preserve">email </w:t>
      </w:r>
      <w:r>
        <w:rPr>
          <w:sz w:val="24"/>
        </w:rPr>
        <w:t xml:space="preserve">the </w:t>
      </w:r>
      <w:r>
        <w:rPr>
          <w:sz w:val="24"/>
          <w:u w:val="single"/>
        </w:rPr>
        <w:t>Emergency Use Report Form</w:t>
      </w:r>
      <w:r>
        <w:rPr>
          <w:sz w:val="24"/>
        </w:rPr>
        <w:t xml:space="preserve"> to the IRB representative </w:t>
      </w:r>
      <w:r>
        <w:rPr>
          <w:sz w:val="24"/>
          <w:u w:val="single"/>
        </w:rPr>
        <w:t>before</w:t>
      </w:r>
      <w:r>
        <w:rPr>
          <w:sz w:val="24"/>
        </w:rPr>
        <w:t xml:space="preserve"> calling, if possible, so the IRB representative can reference the form during the</w:t>
      </w:r>
      <w:r>
        <w:rPr>
          <w:spacing w:val="-17"/>
          <w:sz w:val="24"/>
        </w:rPr>
        <w:t xml:space="preserve"> </w:t>
      </w:r>
      <w:r>
        <w:rPr>
          <w:sz w:val="24"/>
        </w:rPr>
        <w:t>call.</w:t>
      </w:r>
    </w:p>
    <w:p w:rsidR="00D646E1" w:rsidRDefault="00A07DA3">
      <w:pPr>
        <w:pStyle w:val="ListParagraph"/>
        <w:numPr>
          <w:ilvl w:val="1"/>
          <w:numId w:val="5"/>
        </w:numPr>
        <w:tabs>
          <w:tab w:val="left" w:pos="1379"/>
          <w:tab w:val="left" w:pos="1380"/>
        </w:tabs>
        <w:spacing w:before="1" w:line="293" w:lineRule="exact"/>
        <w:rPr>
          <w:sz w:val="24"/>
        </w:rPr>
      </w:pPr>
      <w:r>
        <w:rPr>
          <w:sz w:val="24"/>
        </w:rPr>
        <w:t>Please contact the IRB repr</w:t>
      </w:r>
      <w:r>
        <w:rPr>
          <w:sz w:val="24"/>
        </w:rPr>
        <w:t>esentatives in the following</w:t>
      </w:r>
      <w:r>
        <w:rPr>
          <w:spacing w:val="-6"/>
          <w:sz w:val="24"/>
        </w:rPr>
        <w:t xml:space="preserve"> </w:t>
      </w:r>
      <w:r>
        <w:rPr>
          <w:sz w:val="24"/>
        </w:rPr>
        <w:t>order:</w:t>
      </w:r>
    </w:p>
    <w:p w:rsidR="00D646E1" w:rsidRDefault="00A07DA3">
      <w:pPr>
        <w:pStyle w:val="ListParagraph"/>
        <w:numPr>
          <w:ilvl w:val="0"/>
          <w:numId w:val="4"/>
        </w:numPr>
        <w:tabs>
          <w:tab w:val="left" w:pos="2100"/>
        </w:tabs>
        <w:spacing w:line="274" w:lineRule="exact"/>
        <w:rPr>
          <w:sz w:val="24"/>
        </w:rPr>
      </w:pPr>
      <w:r>
        <w:rPr>
          <w:sz w:val="24"/>
        </w:rPr>
        <w:t>IRB Chair, (contact Vice Chair</w:t>
      </w:r>
      <w:r>
        <w:rPr>
          <w:spacing w:val="-2"/>
          <w:sz w:val="24"/>
        </w:rPr>
        <w:t xml:space="preserve"> </w:t>
      </w:r>
      <w:r>
        <w:rPr>
          <w:sz w:val="24"/>
        </w:rPr>
        <w:t>below)</w:t>
      </w:r>
    </w:p>
    <w:p w:rsidR="00D646E1" w:rsidRDefault="00A07DA3">
      <w:pPr>
        <w:pStyle w:val="ListParagraph"/>
        <w:numPr>
          <w:ilvl w:val="0"/>
          <w:numId w:val="4"/>
        </w:numPr>
        <w:tabs>
          <w:tab w:val="left" w:pos="2100"/>
        </w:tabs>
        <w:spacing w:line="275" w:lineRule="exact"/>
        <w:rPr>
          <w:sz w:val="24"/>
        </w:rPr>
      </w:pPr>
      <w:r>
        <w:rPr>
          <w:sz w:val="24"/>
        </w:rPr>
        <w:t>IRB</w:t>
      </w:r>
      <w:r>
        <w:rPr>
          <w:spacing w:val="-9"/>
          <w:sz w:val="24"/>
        </w:rPr>
        <w:t xml:space="preserve"> </w:t>
      </w:r>
      <w:r>
        <w:rPr>
          <w:sz w:val="24"/>
        </w:rPr>
        <w:t>Vice</w:t>
      </w:r>
      <w:r>
        <w:rPr>
          <w:spacing w:val="-8"/>
          <w:sz w:val="24"/>
        </w:rPr>
        <w:t xml:space="preserve"> </w:t>
      </w:r>
      <w:r>
        <w:rPr>
          <w:sz w:val="24"/>
        </w:rPr>
        <w:t>Chair,</w:t>
      </w:r>
      <w:r>
        <w:rPr>
          <w:spacing w:val="-8"/>
          <w:sz w:val="24"/>
        </w:rPr>
        <w:t xml:space="preserve"> </w:t>
      </w:r>
      <w:r>
        <w:rPr>
          <w:sz w:val="24"/>
        </w:rPr>
        <w:t>Fred</w:t>
      </w:r>
      <w:r>
        <w:rPr>
          <w:spacing w:val="-8"/>
          <w:sz w:val="24"/>
        </w:rPr>
        <w:t xml:space="preserve"> </w:t>
      </w:r>
      <w:r>
        <w:rPr>
          <w:sz w:val="24"/>
        </w:rPr>
        <w:t>Lee,</w:t>
      </w:r>
      <w:r>
        <w:rPr>
          <w:color w:val="0000FF"/>
          <w:spacing w:val="-8"/>
          <w:sz w:val="24"/>
        </w:rPr>
        <w:t xml:space="preserve"> </w:t>
      </w:r>
      <w:hyperlink r:id="rId12">
        <w:r>
          <w:rPr>
            <w:color w:val="0000FF"/>
            <w:sz w:val="24"/>
            <w:u w:val="single" w:color="0000FF"/>
          </w:rPr>
          <w:t>fredlee@leedurham.com</w:t>
        </w:r>
        <w:r>
          <w:rPr>
            <w:sz w:val="24"/>
          </w:rPr>
          <w:t>,</w:t>
        </w:r>
        <w:r>
          <w:rPr>
            <w:spacing w:val="-8"/>
            <w:sz w:val="24"/>
          </w:rPr>
          <w:t xml:space="preserve"> </w:t>
        </w:r>
      </w:hyperlink>
      <w:r>
        <w:rPr>
          <w:sz w:val="24"/>
        </w:rPr>
        <w:t>229-431-3036</w:t>
      </w:r>
    </w:p>
    <w:p w:rsidR="00D646E1" w:rsidRDefault="00A07DA3">
      <w:pPr>
        <w:pStyle w:val="ListParagraph"/>
        <w:numPr>
          <w:ilvl w:val="0"/>
          <w:numId w:val="4"/>
        </w:numPr>
        <w:tabs>
          <w:tab w:val="left" w:pos="2100"/>
        </w:tabs>
        <w:spacing w:before="1" w:line="275" w:lineRule="exact"/>
        <w:rPr>
          <w:sz w:val="24"/>
        </w:rPr>
      </w:pPr>
      <w:r>
        <w:rPr>
          <w:sz w:val="24"/>
        </w:rPr>
        <w:t>IRB Administrator, Mike Felsen,</w:t>
      </w:r>
      <w:r>
        <w:rPr>
          <w:color w:val="0000FF"/>
          <w:sz w:val="24"/>
        </w:rPr>
        <w:t xml:space="preserve"> </w:t>
      </w:r>
      <w:hyperlink r:id="rId13">
        <w:r>
          <w:rPr>
            <w:color w:val="0000FF"/>
            <w:sz w:val="24"/>
            <w:u w:val="single" w:color="0000FF"/>
          </w:rPr>
          <w:t>mfelsen@ppmh.org</w:t>
        </w:r>
        <w:r>
          <w:rPr>
            <w:sz w:val="24"/>
          </w:rPr>
          <w:t>,</w:t>
        </w:r>
        <w:r>
          <w:rPr>
            <w:spacing w:val="-41"/>
            <w:sz w:val="24"/>
          </w:rPr>
          <w:t xml:space="preserve"> </w:t>
        </w:r>
      </w:hyperlink>
      <w:r>
        <w:rPr>
          <w:sz w:val="24"/>
        </w:rPr>
        <w:t>229-312-4108</w:t>
      </w:r>
    </w:p>
    <w:p w:rsidR="00D646E1" w:rsidRDefault="00A07DA3">
      <w:pPr>
        <w:pStyle w:val="ListParagraph"/>
        <w:numPr>
          <w:ilvl w:val="0"/>
          <w:numId w:val="4"/>
        </w:numPr>
        <w:tabs>
          <w:tab w:val="left" w:pos="2100"/>
        </w:tabs>
        <w:spacing w:line="275" w:lineRule="exact"/>
        <w:rPr>
          <w:sz w:val="24"/>
        </w:rPr>
      </w:pPr>
      <w:r>
        <w:rPr>
          <w:sz w:val="24"/>
        </w:rPr>
        <w:t>IRB Coordinator, Felicia Lewis,</w:t>
      </w:r>
      <w:r>
        <w:rPr>
          <w:color w:val="0000FF"/>
          <w:sz w:val="24"/>
        </w:rPr>
        <w:t xml:space="preserve"> </w:t>
      </w:r>
      <w:hyperlink r:id="rId14">
        <w:r>
          <w:rPr>
            <w:color w:val="0000FF"/>
            <w:sz w:val="24"/>
            <w:u w:val="single" w:color="0000FF"/>
          </w:rPr>
          <w:t>flewis@ppmh.org</w:t>
        </w:r>
        <w:r>
          <w:rPr>
            <w:sz w:val="24"/>
          </w:rPr>
          <w:t>,</w:t>
        </w:r>
        <w:r>
          <w:rPr>
            <w:spacing w:val="-5"/>
            <w:sz w:val="24"/>
          </w:rPr>
          <w:t xml:space="preserve"> </w:t>
        </w:r>
      </w:hyperlink>
      <w:r>
        <w:rPr>
          <w:sz w:val="24"/>
        </w:rPr>
        <w:t>229-312-8065</w:t>
      </w:r>
    </w:p>
    <w:p w:rsidR="00D646E1" w:rsidRDefault="00D646E1">
      <w:pPr>
        <w:pStyle w:val="BodyText"/>
        <w:spacing w:before="11"/>
        <w:rPr>
          <w:sz w:val="15"/>
        </w:rPr>
      </w:pPr>
    </w:p>
    <w:p w:rsidR="00D646E1" w:rsidRDefault="00A07DA3">
      <w:pPr>
        <w:pStyle w:val="ListParagraph"/>
        <w:numPr>
          <w:ilvl w:val="0"/>
          <w:numId w:val="3"/>
        </w:numPr>
        <w:tabs>
          <w:tab w:val="left" w:pos="660"/>
        </w:tabs>
        <w:spacing w:before="92"/>
        <w:ind w:right="391"/>
        <w:rPr>
          <w:sz w:val="24"/>
        </w:rPr>
      </w:pPr>
      <w:r>
        <w:rPr>
          <w:b/>
          <w:sz w:val="24"/>
        </w:rPr>
        <w:t xml:space="preserve">Written informed consent </w:t>
      </w:r>
      <w:r>
        <w:rPr>
          <w:sz w:val="24"/>
        </w:rPr>
        <w:t>from the patient or their legally authorized represent</w:t>
      </w:r>
      <w:r>
        <w:rPr>
          <w:sz w:val="24"/>
        </w:rPr>
        <w:t>ative. Use the PPMH IRB’s</w:t>
      </w:r>
      <w:r>
        <w:rPr>
          <w:spacing w:val="-4"/>
          <w:sz w:val="24"/>
        </w:rPr>
        <w:t xml:space="preserve"> </w:t>
      </w:r>
      <w:r>
        <w:rPr>
          <w:sz w:val="24"/>
        </w:rPr>
        <w:t>template</w:t>
      </w:r>
      <w:r>
        <w:rPr>
          <w:spacing w:val="-3"/>
          <w:sz w:val="24"/>
        </w:rPr>
        <w:t xml:space="preserve"> </w:t>
      </w:r>
      <w:r>
        <w:rPr>
          <w:sz w:val="24"/>
          <w:u w:val="single"/>
        </w:rPr>
        <w:t>Emergency</w:t>
      </w:r>
      <w:r>
        <w:rPr>
          <w:spacing w:val="-3"/>
          <w:sz w:val="24"/>
          <w:u w:val="single"/>
        </w:rPr>
        <w:t xml:space="preserve"> </w:t>
      </w:r>
      <w:r>
        <w:rPr>
          <w:sz w:val="24"/>
          <w:u w:val="single"/>
        </w:rPr>
        <w:t>Use</w:t>
      </w:r>
      <w:r>
        <w:rPr>
          <w:spacing w:val="-3"/>
          <w:sz w:val="24"/>
          <w:u w:val="single"/>
        </w:rPr>
        <w:t xml:space="preserve"> </w:t>
      </w:r>
      <w:r>
        <w:rPr>
          <w:sz w:val="24"/>
          <w:u w:val="single"/>
        </w:rPr>
        <w:t>Consent</w:t>
      </w:r>
      <w:r>
        <w:rPr>
          <w:spacing w:val="-3"/>
          <w:sz w:val="24"/>
          <w:u w:val="single"/>
        </w:rPr>
        <w:t xml:space="preserve"> </w:t>
      </w:r>
      <w:r>
        <w:rPr>
          <w:sz w:val="24"/>
          <w:u w:val="single"/>
        </w:rPr>
        <w:t>Form</w:t>
      </w:r>
      <w:r>
        <w:rPr>
          <w:spacing w:val="-3"/>
          <w:sz w:val="24"/>
        </w:rPr>
        <w:t xml:space="preserve"> </w:t>
      </w:r>
      <w:r>
        <w:rPr>
          <w:sz w:val="24"/>
        </w:rPr>
        <w:t>or</w:t>
      </w:r>
      <w:r>
        <w:rPr>
          <w:spacing w:val="-3"/>
          <w:sz w:val="24"/>
        </w:rPr>
        <w:t xml:space="preserve"> </w:t>
      </w:r>
      <w:r>
        <w:rPr>
          <w:sz w:val="24"/>
        </w:rPr>
        <w:t>a</w:t>
      </w:r>
      <w:r>
        <w:rPr>
          <w:spacing w:val="-4"/>
          <w:sz w:val="24"/>
        </w:rPr>
        <w:t xml:space="preserve"> </w:t>
      </w:r>
      <w:r>
        <w:rPr>
          <w:sz w:val="24"/>
        </w:rPr>
        <w:t>form</w:t>
      </w:r>
      <w:r>
        <w:rPr>
          <w:spacing w:val="-3"/>
          <w:sz w:val="24"/>
        </w:rPr>
        <w:t xml:space="preserve"> </w:t>
      </w:r>
      <w:r>
        <w:rPr>
          <w:sz w:val="24"/>
        </w:rPr>
        <w:t>provided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manufacturer</w:t>
      </w:r>
      <w:r>
        <w:rPr>
          <w:spacing w:val="-3"/>
          <w:sz w:val="24"/>
        </w:rPr>
        <w:t xml:space="preserve"> </w:t>
      </w:r>
      <w:r>
        <w:rPr>
          <w:sz w:val="24"/>
        </w:rPr>
        <w:t>or</w:t>
      </w:r>
      <w:r>
        <w:rPr>
          <w:spacing w:val="-3"/>
          <w:sz w:val="24"/>
        </w:rPr>
        <w:t xml:space="preserve"> </w:t>
      </w:r>
      <w:r>
        <w:rPr>
          <w:sz w:val="24"/>
        </w:rPr>
        <w:t>sponsor.</w:t>
      </w:r>
    </w:p>
    <w:p w:rsidR="00D646E1" w:rsidRDefault="00A07DA3">
      <w:pPr>
        <w:pStyle w:val="ListParagraph"/>
        <w:numPr>
          <w:ilvl w:val="1"/>
          <w:numId w:val="3"/>
        </w:numPr>
        <w:tabs>
          <w:tab w:val="left" w:pos="1379"/>
          <w:tab w:val="left" w:pos="1380"/>
        </w:tabs>
        <w:spacing w:before="1"/>
        <w:ind w:left="1380" w:right="445"/>
        <w:rPr>
          <w:rFonts w:ascii="Symbol"/>
          <w:sz w:val="24"/>
        </w:rPr>
      </w:pPr>
      <w:r>
        <w:rPr>
          <w:sz w:val="24"/>
        </w:rPr>
        <w:t xml:space="preserve">Since the FDA exempts emergency uses from the usual requirements for prior IRB approval, there is </w:t>
      </w:r>
      <w:r>
        <w:rPr>
          <w:sz w:val="24"/>
          <w:u w:val="single"/>
        </w:rPr>
        <w:t>no requirement to obtain IRB approval</w:t>
      </w:r>
      <w:r>
        <w:rPr>
          <w:sz w:val="24"/>
        </w:rPr>
        <w:t xml:space="preserve"> of the </w:t>
      </w:r>
      <w:r>
        <w:rPr>
          <w:sz w:val="24"/>
          <w:u w:val="single"/>
        </w:rPr>
        <w:t>emergency use consent</w:t>
      </w:r>
      <w:r>
        <w:rPr>
          <w:sz w:val="24"/>
        </w:rPr>
        <w:t xml:space="preserve"> form before using it with the</w:t>
      </w:r>
      <w:r>
        <w:rPr>
          <w:spacing w:val="-1"/>
          <w:sz w:val="24"/>
        </w:rPr>
        <w:t xml:space="preserve"> </w:t>
      </w:r>
      <w:r>
        <w:rPr>
          <w:sz w:val="24"/>
        </w:rPr>
        <w:t>patient.</w:t>
      </w:r>
    </w:p>
    <w:p w:rsidR="00D646E1" w:rsidRDefault="00A07DA3">
      <w:pPr>
        <w:pStyle w:val="Heading2"/>
        <w:spacing w:line="272" w:lineRule="exact"/>
        <w:ind w:left="684"/>
      </w:pPr>
      <w:r>
        <w:t>OR</w:t>
      </w:r>
    </w:p>
    <w:p w:rsidR="00D646E1" w:rsidRDefault="00A07DA3">
      <w:pPr>
        <w:pStyle w:val="ListParagraph"/>
        <w:numPr>
          <w:ilvl w:val="1"/>
          <w:numId w:val="3"/>
        </w:numPr>
        <w:tabs>
          <w:tab w:val="left" w:pos="1380"/>
        </w:tabs>
        <w:spacing w:before="1"/>
        <w:ind w:left="1380" w:right="293"/>
        <w:jc w:val="both"/>
        <w:rPr>
          <w:rFonts w:ascii="Symbol"/>
          <w:sz w:val="24"/>
        </w:rPr>
      </w:pPr>
      <w:r>
        <w:rPr>
          <w:b/>
          <w:sz w:val="24"/>
        </w:rPr>
        <w:t xml:space="preserve">Determine that the criteria are met to waive consent </w:t>
      </w:r>
      <w:r>
        <w:rPr>
          <w:sz w:val="24"/>
        </w:rPr>
        <w:t xml:space="preserve">for the emergency use. </w:t>
      </w:r>
      <w:r>
        <w:rPr>
          <w:b/>
          <w:i/>
          <w:sz w:val="24"/>
        </w:rPr>
        <w:t xml:space="preserve">Before </w:t>
      </w:r>
      <w:r>
        <w:rPr>
          <w:sz w:val="24"/>
        </w:rPr>
        <w:t xml:space="preserve">using the test article, </w:t>
      </w:r>
      <w:r>
        <w:rPr>
          <w:b/>
          <w:i/>
          <w:sz w:val="24"/>
        </w:rPr>
        <w:t xml:space="preserve">determine </w:t>
      </w:r>
      <w:r>
        <w:rPr>
          <w:sz w:val="24"/>
        </w:rPr>
        <w:t xml:space="preserve">and, if possible, </w:t>
      </w:r>
      <w:r>
        <w:rPr>
          <w:b/>
          <w:i/>
          <w:sz w:val="24"/>
        </w:rPr>
        <w:t xml:space="preserve">document </w:t>
      </w:r>
      <w:r>
        <w:rPr>
          <w:sz w:val="24"/>
        </w:rPr>
        <w:t>(in writing/email) that criteria for waiving eme</w:t>
      </w:r>
      <w:r>
        <w:rPr>
          <w:sz w:val="24"/>
        </w:rPr>
        <w:t>rgency use consent (see below) are met, in the opinion of both</w:t>
      </w:r>
      <w:r>
        <w:rPr>
          <w:spacing w:val="-5"/>
          <w:sz w:val="24"/>
        </w:rPr>
        <w:t xml:space="preserve"> </w:t>
      </w:r>
      <w:r>
        <w:rPr>
          <w:sz w:val="24"/>
        </w:rPr>
        <w:t>the:</w:t>
      </w:r>
    </w:p>
    <w:p w:rsidR="00D646E1" w:rsidRDefault="00A07DA3">
      <w:pPr>
        <w:pStyle w:val="ListParagraph"/>
        <w:numPr>
          <w:ilvl w:val="2"/>
          <w:numId w:val="3"/>
        </w:numPr>
        <w:tabs>
          <w:tab w:val="left" w:pos="2100"/>
        </w:tabs>
        <w:spacing w:line="284" w:lineRule="exact"/>
        <w:rPr>
          <w:b/>
          <w:i/>
          <w:sz w:val="24"/>
        </w:rPr>
      </w:pPr>
      <w:r>
        <w:rPr>
          <w:sz w:val="24"/>
        </w:rPr>
        <w:t>Physician treating the patient with the test article;</w:t>
      </w:r>
      <w:r>
        <w:rPr>
          <w:spacing w:val="-5"/>
          <w:sz w:val="24"/>
        </w:rPr>
        <w:t xml:space="preserve"> </w:t>
      </w:r>
      <w:r>
        <w:rPr>
          <w:b/>
          <w:i/>
          <w:sz w:val="24"/>
        </w:rPr>
        <w:t>and</w:t>
      </w:r>
    </w:p>
    <w:p w:rsidR="00D646E1" w:rsidRDefault="00A07DA3">
      <w:pPr>
        <w:pStyle w:val="ListParagraph"/>
        <w:numPr>
          <w:ilvl w:val="2"/>
          <w:numId w:val="3"/>
        </w:numPr>
        <w:tabs>
          <w:tab w:val="left" w:pos="2100"/>
        </w:tabs>
        <w:spacing w:line="286" w:lineRule="exact"/>
        <w:rPr>
          <w:sz w:val="24"/>
        </w:rPr>
      </w:pPr>
      <w:r>
        <w:rPr>
          <w:sz w:val="24"/>
        </w:rPr>
        <w:t>Physician not participating in the emergency use (independent/uninvolved</w:t>
      </w:r>
      <w:r>
        <w:rPr>
          <w:spacing w:val="-32"/>
          <w:sz w:val="24"/>
        </w:rPr>
        <w:t xml:space="preserve"> </w:t>
      </w:r>
      <w:r>
        <w:rPr>
          <w:sz w:val="24"/>
        </w:rPr>
        <w:t>physician)</w:t>
      </w:r>
    </w:p>
    <w:p w:rsidR="00D646E1" w:rsidRDefault="00D646E1">
      <w:pPr>
        <w:pStyle w:val="BodyText"/>
        <w:spacing w:before="1"/>
        <w:rPr>
          <w:sz w:val="22"/>
        </w:rPr>
      </w:pPr>
    </w:p>
    <w:p w:rsidR="00D646E1" w:rsidRDefault="00A07DA3">
      <w:pPr>
        <w:pStyle w:val="ListParagraph"/>
        <w:numPr>
          <w:ilvl w:val="1"/>
          <w:numId w:val="3"/>
        </w:numPr>
        <w:tabs>
          <w:tab w:val="left" w:pos="1379"/>
          <w:tab w:val="left" w:pos="1380"/>
        </w:tabs>
        <w:spacing w:before="1"/>
        <w:ind w:left="1380" w:right="937"/>
        <w:rPr>
          <w:rFonts w:ascii="Symbol"/>
          <w:sz w:val="24"/>
        </w:rPr>
      </w:pPr>
      <w:r>
        <w:rPr>
          <w:sz w:val="24"/>
        </w:rPr>
        <w:t xml:space="preserve">If it is not possible to obtain consent, FDA </w:t>
      </w:r>
      <w:r>
        <w:rPr>
          <w:sz w:val="24"/>
        </w:rPr>
        <w:t>regulations (21 CFR 50.23) allow a waiver of emergency use consent under the following</w:t>
      </w:r>
      <w:r>
        <w:rPr>
          <w:spacing w:val="-5"/>
          <w:sz w:val="24"/>
        </w:rPr>
        <w:t xml:space="preserve"> </w:t>
      </w:r>
      <w:r>
        <w:rPr>
          <w:sz w:val="24"/>
        </w:rPr>
        <w:t>conditions:</w:t>
      </w:r>
    </w:p>
    <w:p w:rsidR="00D646E1" w:rsidRDefault="00A07DA3">
      <w:pPr>
        <w:pStyle w:val="ListParagraph"/>
        <w:numPr>
          <w:ilvl w:val="2"/>
          <w:numId w:val="3"/>
        </w:numPr>
        <w:tabs>
          <w:tab w:val="left" w:pos="2100"/>
        </w:tabs>
        <w:spacing w:before="12" w:line="223" w:lineRule="auto"/>
        <w:ind w:right="448"/>
        <w:rPr>
          <w:sz w:val="24"/>
        </w:rPr>
      </w:pPr>
      <w:r>
        <w:rPr>
          <w:sz w:val="24"/>
        </w:rPr>
        <w:t>The</w:t>
      </w:r>
      <w:r>
        <w:rPr>
          <w:spacing w:val="-5"/>
          <w:sz w:val="24"/>
        </w:rPr>
        <w:t xml:space="preserve"> </w:t>
      </w:r>
      <w:r>
        <w:rPr>
          <w:sz w:val="24"/>
        </w:rPr>
        <w:t>patient</w:t>
      </w:r>
      <w:r>
        <w:rPr>
          <w:spacing w:val="-5"/>
          <w:sz w:val="24"/>
        </w:rPr>
        <w:t xml:space="preserve"> </w:t>
      </w:r>
      <w:r>
        <w:rPr>
          <w:sz w:val="24"/>
        </w:rPr>
        <w:t>is</w:t>
      </w:r>
      <w:r>
        <w:rPr>
          <w:spacing w:val="-4"/>
          <w:sz w:val="24"/>
        </w:rPr>
        <w:t xml:space="preserve"> </w:t>
      </w:r>
      <w:r>
        <w:rPr>
          <w:sz w:val="24"/>
        </w:rPr>
        <w:t>confronted</w:t>
      </w:r>
      <w:r>
        <w:rPr>
          <w:spacing w:val="-5"/>
          <w:sz w:val="24"/>
        </w:rPr>
        <w:t xml:space="preserve"> </w:t>
      </w:r>
      <w:r>
        <w:rPr>
          <w:sz w:val="24"/>
        </w:rPr>
        <w:t>with</w:t>
      </w:r>
      <w:r>
        <w:rPr>
          <w:spacing w:val="-5"/>
          <w:sz w:val="24"/>
        </w:rPr>
        <w:t xml:space="preserve"> </w:t>
      </w:r>
      <w:r>
        <w:rPr>
          <w:sz w:val="24"/>
        </w:rPr>
        <w:t>a</w:t>
      </w:r>
      <w:r>
        <w:rPr>
          <w:spacing w:val="-5"/>
          <w:sz w:val="24"/>
        </w:rPr>
        <w:t xml:space="preserve"> </w:t>
      </w:r>
      <w:r>
        <w:rPr>
          <w:sz w:val="24"/>
        </w:rPr>
        <w:t>life-threatening</w:t>
      </w:r>
      <w:r>
        <w:rPr>
          <w:spacing w:val="-5"/>
          <w:sz w:val="24"/>
        </w:rPr>
        <w:t xml:space="preserve"> </w:t>
      </w:r>
      <w:r>
        <w:rPr>
          <w:sz w:val="24"/>
        </w:rPr>
        <w:t>situation</w:t>
      </w:r>
      <w:r>
        <w:rPr>
          <w:spacing w:val="-5"/>
          <w:sz w:val="24"/>
        </w:rPr>
        <w:t xml:space="preserve"> </w:t>
      </w:r>
      <w:r>
        <w:rPr>
          <w:sz w:val="24"/>
        </w:rPr>
        <w:t>necessitating</w:t>
      </w:r>
      <w:r>
        <w:rPr>
          <w:spacing w:val="-5"/>
          <w:sz w:val="24"/>
        </w:rPr>
        <w:t xml:space="preserve"> </w:t>
      </w:r>
      <w:r>
        <w:rPr>
          <w:sz w:val="24"/>
        </w:rPr>
        <w:t>the</w:t>
      </w:r>
      <w:r>
        <w:rPr>
          <w:spacing w:val="-5"/>
          <w:sz w:val="24"/>
        </w:rPr>
        <w:t xml:space="preserve"> </w:t>
      </w:r>
      <w:r>
        <w:rPr>
          <w:sz w:val="24"/>
        </w:rPr>
        <w:t>use</w:t>
      </w:r>
      <w:r>
        <w:rPr>
          <w:spacing w:val="-5"/>
          <w:sz w:val="24"/>
        </w:rPr>
        <w:t xml:space="preserve"> </w:t>
      </w:r>
      <w:r>
        <w:rPr>
          <w:sz w:val="24"/>
        </w:rPr>
        <w:t>of</w:t>
      </w:r>
      <w:r>
        <w:rPr>
          <w:spacing w:val="-5"/>
          <w:sz w:val="24"/>
        </w:rPr>
        <w:t xml:space="preserve"> </w:t>
      </w:r>
      <w:r>
        <w:rPr>
          <w:sz w:val="24"/>
        </w:rPr>
        <w:t>the test</w:t>
      </w:r>
      <w:r>
        <w:rPr>
          <w:spacing w:val="-1"/>
          <w:sz w:val="24"/>
        </w:rPr>
        <w:t xml:space="preserve"> </w:t>
      </w:r>
      <w:r>
        <w:rPr>
          <w:sz w:val="24"/>
        </w:rPr>
        <w:t>article;</w:t>
      </w:r>
    </w:p>
    <w:p w:rsidR="00D646E1" w:rsidRDefault="00A07DA3">
      <w:pPr>
        <w:pStyle w:val="ListParagraph"/>
        <w:numPr>
          <w:ilvl w:val="2"/>
          <w:numId w:val="3"/>
        </w:numPr>
        <w:tabs>
          <w:tab w:val="left" w:pos="2100"/>
        </w:tabs>
        <w:spacing w:before="17" w:line="223" w:lineRule="auto"/>
        <w:ind w:right="885"/>
        <w:rPr>
          <w:sz w:val="24"/>
        </w:rPr>
      </w:pPr>
      <w:r>
        <w:rPr>
          <w:sz w:val="24"/>
        </w:rPr>
        <w:t>Informed</w:t>
      </w:r>
      <w:r>
        <w:rPr>
          <w:spacing w:val="-5"/>
          <w:sz w:val="24"/>
        </w:rPr>
        <w:t xml:space="preserve"> </w:t>
      </w:r>
      <w:r>
        <w:rPr>
          <w:sz w:val="24"/>
        </w:rPr>
        <w:t>consent</w:t>
      </w:r>
      <w:r>
        <w:rPr>
          <w:spacing w:val="-4"/>
          <w:sz w:val="24"/>
        </w:rPr>
        <w:t xml:space="preserve"> </w:t>
      </w:r>
      <w:r>
        <w:rPr>
          <w:sz w:val="24"/>
        </w:rPr>
        <w:t>cannot</w:t>
      </w:r>
      <w:r>
        <w:rPr>
          <w:spacing w:val="-4"/>
          <w:sz w:val="24"/>
        </w:rPr>
        <w:t xml:space="preserve"> </w:t>
      </w:r>
      <w:r>
        <w:rPr>
          <w:sz w:val="24"/>
        </w:rPr>
        <w:t>be</w:t>
      </w:r>
      <w:r>
        <w:rPr>
          <w:spacing w:val="-5"/>
          <w:sz w:val="24"/>
        </w:rPr>
        <w:t xml:space="preserve"> </w:t>
      </w:r>
      <w:r>
        <w:rPr>
          <w:sz w:val="24"/>
        </w:rPr>
        <w:t>obtained</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patient</w:t>
      </w:r>
      <w:r>
        <w:rPr>
          <w:spacing w:val="-6"/>
          <w:sz w:val="24"/>
        </w:rPr>
        <w:t xml:space="preserve"> </w:t>
      </w:r>
      <w:r>
        <w:rPr>
          <w:sz w:val="24"/>
        </w:rPr>
        <w:t>because</w:t>
      </w:r>
      <w:r>
        <w:rPr>
          <w:spacing w:val="-3"/>
          <w:sz w:val="24"/>
        </w:rPr>
        <w:t xml:space="preserve"> </w:t>
      </w:r>
      <w:r>
        <w:rPr>
          <w:sz w:val="24"/>
        </w:rPr>
        <w:t>of</w:t>
      </w:r>
      <w:r>
        <w:rPr>
          <w:spacing w:val="-4"/>
          <w:sz w:val="24"/>
        </w:rPr>
        <w:t xml:space="preserve"> </w:t>
      </w:r>
      <w:r>
        <w:rPr>
          <w:sz w:val="24"/>
        </w:rPr>
        <w:t>an</w:t>
      </w:r>
      <w:r>
        <w:rPr>
          <w:spacing w:val="-5"/>
          <w:sz w:val="24"/>
        </w:rPr>
        <w:t xml:space="preserve"> </w:t>
      </w:r>
      <w:r>
        <w:rPr>
          <w:sz w:val="24"/>
        </w:rPr>
        <w:t>inability</w:t>
      </w:r>
      <w:r>
        <w:rPr>
          <w:spacing w:val="-4"/>
          <w:sz w:val="24"/>
        </w:rPr>
        <w:t xml:space="preserve"> </w:t>
      </w:r>
      <w:r>
        <w:rPr>
          <w:sz w:val="24"/>
        </w:rPr>
        <w:t>to communicate with, or obtain legally effective consent from, the</w:t>
      </w:r>
      <w:r>
        <w:rPr>
          <w:spacing w:val="-22"/>
          <w:sz w:val="24"/>
        </w:rPr>
        <w:t xml:space="preserve"> </w:t>
      </w:r>
      <w:r>
        <w:rPr>
          <w:sz w:val="24"/>
        </w:rPr>
        <w:t>patient;</w:t>
      </w:r>
    </w:p>
    <w:p w:rsidR="00D646E1" w:rsidRDefault="00A07DA3">
      <w:pPr>
        <w:pStyle w:val="ListParagraph"/>
        <w:numPr>
          <w:ilvl w:val="2"/>
          <w:numId w:val="3"/>
        </w:numPr>
        <w:tabs>
          <w:tab w:val="left" w:pos="2100"/>
        </w:tabs>
        <w:spacing w:before="17" w:line="223" w:lineRule="auto"/>
        <w:ind w:right="1279"/>
        <w:rPr>
          <w:b/>
          <w:i/>
          <w:sz w:val="24"/>
        </w:rPr>
      </w:pPr>
      <w:r>
        <w:rPr>
          <w:sz w:val="24"/>
        </w:rPr>
        <w:t>Time</w:t>
      </w:r>
      <w:r>
        <w:rPr>
          <w:spacing w:val="-5"/>
          <w:sz w:val="24"/>
        </w:rPr>
        <w:t xml:space="preserve"> </w:t>
      </w:r>
      <w:r>
        <w:rPr>
          <w:sz w:val="24"/>
        </w:rPr>
        <w:t>is</w:t>
      </w:r>
      <w:r>
        <w:rPr>
          <w:spacing w:val="-5"/>
          <w:sz w:val="24"/>
        </w:rPr>
        <w:t xml:space="preserve"> </w:t>
      </w:r>
      <w:r>
        <w:rPr>
          <w:sz w:val="24"/>
        </w:rPr>
        <w:t>not</w:t>
      </w:r>
      <w:r>
        <w:rPr>
          <w:spacing w:val="-5"/>
          <w:sz w:val="24"/>
        </w:rPr>
        <w:t xml:space="preserve"> </w:t>
      </w:r>
      <w:r>
        <w:rPr>
          <w:sz w:val="24"/>
        </w:rPr>
        <w:t>sufficient</w:t>
      </w:r>
      <w:r>
        <w:rPr>
          <w:spacing w:val="-4"/>
          <w:sz w:val="24"/>
        </w:rPr>
        <w:t xml:space="preserve"> </w:t>
      </w:r>
      <w:r>
        <w:rPr>
          <w:sz w:val="24"/>
        </w:rPr>
        <w:t>to</w:t>
      </w:r>
      <w:r>
        <w:rPr>
          <w:spacing w:val="-5"/>
          <w:sz w:val="24"/>
        </w:rPr>
        <w:t xml:space="preserve"> </w:t>
      </w:r>
      <w:r>
        <w:rPr>
          <w:sz w:val="24"/>
        </w:rPr>
        <w:t>obtain</w:t>
      </w:r>
      <w:r>
        <w:rPr>
          <w:spacing w:val="-5"/>
          <w:sz w:val="24"/>
        </w:rPr>
        <w:t xml:space="preserve"> </w:t>
      </w:r>
      <w:r>
        <w:rPr>
          <w:sz w:val="24"/>
        </w:rPr>
        <w:t>consent</w:t>
      </w:r>
      <w:r>
        <w:rPr>
          <w:spacing w:val="-6"/>
          <w:sz w:val="24"/>
        </w:rPr>
        <w:t xml:space="preserve"> </w:t>
      </w:r>
      <w:r>
        <w:rPr>
          <w:sz w:val="24"/>
        </w:rPr>
        <w:t>from</w:t>
      </w:r>
      <w:r>
        <w:rPr>
          <w:spacing w:val="-4"/>
          <w:sz w:val="24"/>
        </w:rPr>
        <w:t xml:space="preserve"> </w:t>
      </w:r>
      <w:r>
        <w:rPr>
          <w:sz w:val="24"/>
        </w:rPr>
        <w:t>the</w:t>
      </w:r>
      <w:r>
        <w:rPr>
          <w:spacing w:val="-5"/>
          <w:sz w:val="24"/>
        </w:rPr>
        <w:t xml:space="preserve"> </w:t>
      </w:r>
      <w:r>
        <w:rPr>
          <w:sz w:val="24"/>
        </w:rPr>
        <w:t>patient’s</w:t>
      </w:r>
      <w:r>
        <w:rPr>
          <w:spacing w:val="-5"/>
          <w:sz w:val="24"/>
        </w:rPr>
        <w:t xml:space="preserve"> </w:t>
      </w:r>
      <w:r>
        <w:rPr>
          <w:sz w:val="24"/>
        </w:rPr>
        <w:t>legally</w:t>
      </w:r>
      <w:r>
        <w:rPr>
          <w:spacing w:val="-4"/>
          <w:sz w:val="24"/>
        </w:rPr>
        <w:t xml:space="preserve"> </w:t>
      </w:r>
      <w:r>
        <w:rPr>
          <w:sz w:val="24"/>
        </w:rPr>
        <w:t>authorized representative;</w:t>
      </w:r>
      <w:r>
        <w:rPr>
          <w:spacing w:val="-1"/>
          <w:sz w:val="24"/>
        </w:rPr>
        <w:t xml:space="preserve"> </w:t>
      </w:r>
      <w:r>
        <w:rPr>
          <w:b/>
          <w:i/>
          <w:sz w:val="24"/>
        </w:rPr>
        <w:t>and</w:t>
      </w:r>
    </w:p>
    <w:p w:rsidR="00D646E1" w:rsidRDefault="00A07DA3">
      <w:pPr>
        <w:pStyle w:val="ListParagraph"/>
        <w:numPr>
          <w:ilvl w:val="2"/>
          <w:numId w:val="3"/>
        </w:numPr>
        <w:tabs>
          <w:tab w:val="left" w:pos="2100"/>
        </w:tabs>
        <w:spacing w:before="17" w:line="223" w:lineRule="auto"/>
        <w:ind w:right="535"/>
        <w:rPr>
          <w:sz w:val="24"/>
        </w:rPr>
      </w:pPr>
      <w:r>
        <w:rPr>
          <w:sz w:val="24"/>
        </w:rPr>
        <w:t>No</w:t>
      </w:r>
      <w:r>
        <w:rPr>
          <w:spacing w:val="-6"/>
          <w:sz w:val="24"/>
        </w:rPr>
        <w:t xml:space="preserve"> </w:t>
      </w:r>
      <w:r>
        <w:rPr>
          <w:sz w:val="24"/>
        </w:rPr>
        <w:t>alternative</w:t>
      </w:r>
      <w:r>
        <w:rPr>
          <w:spacing w:val="-5"/>
          <w:sz w:val="24"/>
        </w:rPr>
        <w:t xml:space="preserve"> </w:t>
      </w:r>
      <w:r>
        <w:rPr>
          <w:sz w:val="24"/>
        </w:rPr>
        <w:t>method</w:t>
      </w:r>
      <w:r>
        <w:rPr>
          <w:spacing w:val="-5"/>
          <w:sz w:val="24"/>
        </w:rPr>
        <w:t xml:space="preserve"> </w:t>
      </w:r>
      <w:r>
        <w:rPr>
          <w:sz w:val="24"/>
        </w:rPr>
        <w:t>of</w:t>
      </w:r>
      <w:r>
        <w:rPr>
          <w:spacing w:val="-5"/>
          <w:sz w:val="24"/>
        </w:rPr>
        <w:t xml:space="preserve"> </w:t>
      </w:r>
      <w:r>
        <w:rPr>
          <w:sz w:val="24"/>
        </w:rPr>
        <w:t>approved</w:t>
      </w:r>
      <w:r>
        <w:rPr>
          <w:spacing w:val="-5"/>
          <w:sz w:val="24"/>
        </w:rPr>
        <w:t xml:space="preserve"> </w:t>
      </w:r>
      <w:r>
        <w:rPr>
          <w:sz w:val="24"/>
        </w:rPr>
        <w:t>or</w:t>
      </w:r>
      <w:r>
        <w:rPr>
          <w:spacing w:val="-6"/>
          <w:sz w:val="24"/>
        </w:rPr>
        <w:t xml:space="preserve"> </w:t>
      </w:r>
      <w:r>
        <w:rPr>
          <w:sz w:val="24"/>
        </w:rPr>
        <w:t>generally</w:t>
      </w:r>
      <w:r>
        <w:rPr>
          <w:spacing w:val="-5"/>
          <w:sz w:val="24"/>
        </w:rPr>
        <w:t xml:space="preserve"> </w:t>
      </w:r>
      <w:r>
        <w:rPr>
          <w:sz w:val="24"/>
        </w:rPr>
        <w:t>recognized</w:t>
      </w:r>
      <w:r>
        <w:rPr>
          <w:spacing w:val="-5"/>
          <w:sz w:val="24"/>
        </w:rPr>
        <w:t xml:space="preserve"> </w:t>
      </w:r>
      <w:r>
        <w:rPr>
          <w:sz w:val="24"/>
        </w:rPr>
        <w:t>therapy</w:t>
      </w:r>
      <w:r>
        <w:rPr>
          <w:spacing w:val="-5"/>
          <w:sz w:val="24"/>
        </w:rPr>
        <w:t xml:space="preserve"> </w:t>
      </w:r>
      <w:r>
        <w:rPr>
          <w:sz w:val="24"/>
        </w:rPr>
        <w:t>is</w:t>
      </w:r>
      <w:r>
        <w:rPr>
          <w:spacing w:val="-5"/>
          <w:sz w:val="24"/>
        </w:rPr>
        <w:t xml:space="preserve"> </w:t>
      </w:r>
      <w:r>
        <w:rPr>
          <w:sz w:val="24"/>
        </w:rPr>
        <w:t>available</w:t>
      </w:r>
      <w:r>
        <w:rPr>
          <w:spacing w:val="-5"/>
          <w:sz w:val="24"/>
        </w:rPr>
        <w:t xml:space="preserve"> </w:t>
      </w:r>
      <w:r>
        <w:rPr>
          <w:sz w:val="24"/>
        </w:rPr>
        <w:t>that provides equal or greater likelihood of saving the patient’s</w:t>
      </w:r>
      <w:r>
        <w:rPr>
          <w:spacing w:val="-11"/>
          <w:sz w:val="24"/>
        </w:rPr>
        <w:t xml:space="preserve"> </w:t>
      </w:r>
      <w:r>
        <w:rPr>
          <w:sz w:val="24"/>
        </w:rPr>
        <w:t>life.</w:t>
      </w:r>
    </w:p>
    <w:p w:rsidR="00D646E1" w:rsidRDefault="00D646E1">
      <w:pPr>
        <w:pStyle w:val="BodyText"/>
        <w:spacing w:before="2"/>
        <w:rPr>
          <w:sz w:val="16"/>
        </w:rPr>
      </w:pPr>
    </w:p>
    <w:p w:rsidR="00D646E1" w:rsidRDefault="00A07DA3">
      <w:pPr>
        <w:pStyle w:val="ListParagraph"/>
        <w:numPr>
          <w:ilvl w:val="0"/>
          <w:numId w:val="3"/>
        </w:numPr>
        <w:tabs>
          <w:tab w:val="left" w:pos="660"/>
        </w:tabs>
        <w:spacing w:before="93"/>
        <w:ind w:right="607"/>
      </w:pPr>
      <w:r>
        <w:rPr>
          <w:sz w:val="24"/>
        </w:rPr>
        <w:t>If</w:t>
      </w:r>
      <w:r>
        <w:rPr>
          <w:spacing w:val="-4"/>
          <w:sz w:val="24"/>
        </w:rPr>
        <w:t xml:space="preserve"> </w:t>
      </w:r>
      <w:r>
        <w:rPr>
          <w:sz w:val="24"/>
        </w:rPr>
        <w:t>immediate</w:t>
      </w:r>
      <w:r>
        <w:rPr>
          <w:spacing w:val="-4"/>
          <w:sz w:val="24"/>
        </w:rPr>
        <w:t xml:space="preserve"> </w:t>
      </w:r>
      <w:r>
        <w:rPr>
          <w:sz w:val="24"/>
        </w:rPr>
        <w:t>use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test</w:t>
      </w:r>
      <w:r>
        <w:rPr>
          <w:spacing w:val="-4"/>
          <w:sz w:val="24"/>
        </w:rPr>
        <w:t xml:space="preserve"> </w:t>
      </w:r>
      <w:r>
        <w:rPr>
          <w:sz w:val="24"/>
        </w:rPr>
        <w:t>article</w:t>
      </w:r>
      <w:r>
        <w:rPr>
          <w:spacing w:val="-3"/>
          <w:sz w:val="24"/>
        </w:rPr>
        <w:t xml:space="preserve"> </w:t>
      </w:r>
      <w:r>
        <w:rPr>
          <w:sz w:val="24"/>
        </w:rPr>
        <w:t>is</w:t>
      </w:r>
      <w:r>
        <w:rPr>
          <w:spacing w:val="-4"/>
          <w:sz w:val="24"/>
        </w:rPr>
        <w:t xml:space="preserve"> </w:t>
      </w:r>
      <w:r>
        <w:rPr>
          <w:sz w:val="24"/>
        </w:rPr>
        <w:t>needed</w:t>
      </w:r>
      <w:r>
        <w:rPr>
          <w:spacing w:val="-4"/>
          <w:sz w:val="24"/>
        </w:rPr>
        <w:t xml:space="preserve"> </w:t>
      </w:r>
      <w:r>
        <w:rPr>
          <w:sz w:val="24"/>
        </w:rPr>
        <w:t>to</w:t>
      </w:r>
      <w:r>
        <w:rPr>
          <w:spacing w:val="-3"/>
          <w:sz w:val="24"/>
        </w:rPr>
        <w:t xml:space="preserve"> </w:t>
      </w:r>
      <w:r>
        <w:rPr>
          <w:sz w:val="24"/>
        </w:rPr>
        <w:t>preserve</w:t>
      </w:r>
      <w:r>
        <w:rPr>
          <w:spacing w:val="-4"/>
          <w:sz w:val="24"/>
        </w:rPr>
        <w:t xml:space="preserve"> </w:t>
      </w:r>
      <w:r>
        <w:rPr>
          <w:sz w:val="24"/>
        </w:rPr>
        <w:t>the</w:t>
      </w:r>
      <w:r>
        <w:rPr>
          <w:spacing w:val="-4"/>
          <w:sz w:val="24"/>
        </w:rPr>
        <w:t xml:space="preserve"> </w:t>
      </w:r>
      <w:r>
        <w:rPr>
          <w:sz w:val="24"/>
        </w:rPr>
        <w:t>patient’s</w:t>
      </w:r>
      <w:r>
        <w:rPr>
          <w:spacing w:val="-3"/>
          <w:sz w:val="24"/>
        </w:rPr>
        <w:t xml:space="preserve"> </w:t>
      </w:r>
      <w:r>
        <w:rPr>
          <w:sz w:val="24"/>
        </w:rPr>
        <w:t>life,</w:t>
      </w:r>
      <w:r>
        <w:rPr>
          <w:spacing w:val="-5"/>
          <w:sz w:val="24"/>
        </w:rPr>
        <w:t xml:space="preserve"> </w:t>
      </w:r>
      <w:r>
        <w:rPr>
          <w:sz w:val="24"/>
        </w:rPr>
        <w:t>and</w:t>
      </w:r>
      <w:r>
        <w:rPr>
          <w:spacing w:val="-4"/>
          <w:sz w:val="24"/>
        </w:rPr>
        <w:t xml:space="preserve"> </w:t>
      </w:r>
      <w:r>
        <w:rPr>
          <w:sz w:val="24"/>
        </w:rPr>
        <w:t>there</w:t>
      </w:r>
      <w:r>
        <w:rPr>
          <w:spacing w:val="-3"/>
          <w:sz w:val="24"/>
        </w:rPr>
        <w:t xml:space="preserve"> </w:t>
      </w:r>
      <w:r>
        <w:rPr>
          <w:sz w:val="24"/>
        </w:rPr>
        <w:t>is</w:t>
      </w:r>
      <w:r>
        <w:rPr>
          <w:spacing w:val="-4"/>
          <w:sz w:val="24"/>
        </w:rPr>
        <w:t xml:space="preserve"> </w:t>
      </w:r>
      <w:r>
        <w:rPr>
          <w:sz w:val="24"/>
        </w:rPr>
        <w:t>not</w:t>
      </w:r>
      <w:r>
        <w:rPr>
          <w:spacing w:val="-4"/>
          <w:sz w:val="24"/>
        </w:rPr>
        <w:t xml:space="preserve"> </w:t>
      </w:r>
      <w:r>
        <w:rPr>
          <w:sz w:val="24"/>
        </w:rPr>
        <w:t xml:space="preserve">sufficient time to secure an independent physician’s determination that the four conditions for a waiver of emergency use consent (described above) apply, the treating physician should </w:t>
      </w:r>
      <w:r>
        <w:rPr>
          <w:b/>
          <w:sz w:val="24"/>
        </w:rPr>
        <w:t>make the determination that consent cannot be obtained and proceed</w:t>
      </w:r>
      <w:r>
        <w:rPr>
          <w:sz w:val="24"/>
        </w:rPr>
        <w:t>, but</w:t>
      </w:r>
      <w:r>
        <w:rPr>
          <w:sz w:val="24"/>
        </w:rPr>
        <w:t xml:space="preserve"> must have his/her written determination reviewed in writing by an independent physician within five working days </w:t>
      </w:r>
      <w:r>
        <w:rPr>
          <w:sz w:val="24"/>
          <w:u w:val="single"/>
        </w:rPr>
        <w:t>after</w:t>
      </w:r>
      <w:r>
        <w:rPr>
          <w:sz w:val="24"/>
        </w:rPr>
        <w:t xml:space="preserve"> the emergency use of the test article. 21 CFR 50.23(b) &amp; (c); 21 CFR</w:t>
      </w:r>
      <w:r>
        <w:rPr>
          <w:spacing w:val="-18"/>
          <w:sz w:val="24"/>
        </w:rPr>
        <w:t xml:space="preserve"> </w:t>
      </w:r>
      <w:r>
        <w:rPr>
          <w:sz w:val="24"/>
        </w:rPr>
        <w:t>812.150(a)(5).</w:t>
      </w:r>
    </w:p>
    <w:p w:rsidR="00D646E1" w:rsidRDefault="00A07DA3">
      <w:pPr>
        <w:pStyle w:val="ListParagraph"/>
        <w:numPr>
          <w:ilvl w:val="0"/>
          <w:numId w:val="3"/>
        </w:numPr>
        <w:tabs>
          <w:tab w:val="left" w:pos="660"/>
        </w:tabs>
        <w:ind w:right="716"/>
      </w:pPr>
      <w:r>
        <w:rPr>
          <w:sz w:val="24"/>
        </w:rPr>
        <w:t xml:space="preserve">DEVICES ONLY (not required for drugs/biologics): As </w:t>
      </w:r>
      <w:r>
        <w:rPr>
          <w:sz w:val="24"/>
        </w:rPr>
        <w:t xml:space="preserve">noted above in Step 1, obtain a </w:t>
      </w:r>
      <w:r>
        <w:rPr>
          <w:b/>
          <w:sz w:val="24"/>
        </w:rPr>
        <w:t xml:space="preserve">written assessment from an uninvolved physician </w:t>
      </w:r>
      <w:r>
        <w:rPr>
          <w:sz w:val="24"/>
        </w:rPr>
        <w:t xml:space="preserve">that the </w:t>
      </w:r>
      <w:r>
        <w:rPr>
          <w:sz w:val="24"/>
          <w:u w:val="single"/>
        </w:rPr>
        <w:t>criteria for emergency use</w:t>
      </w:r>
      <w:r>
        <w:rPr>
          <w:sz w:val="24"/>
        </w:rPr>
        <w:t xml:space="preserve"> (this is not about waiving consent) are satisfied by the</w:t>
      </w:r>
      <w:r>
        <w:rPr>
          <w:spacing w:val="-3"/>
          <w:sz w:val="24"/>
        </w:rPr>
        <w:t xml:space="preserve"> </w:t>
      </w:r>
      <w:r>
        <w:rPr>
          <w:sz w:val="24"/>
        </w:rPr>
        <w:t>patient.</w:t>
      </w:r>
    </w:p>
    <w:p w:rsidR="00D646E1" w:rsidRDefault="00D646E1">
      <w:pPr>
        <w:sectPr w:rsidR="00D646E1">
          <w:pgSz w:w="12240" w:h="15840"/>
          <w:pgMar w:top="1360" w:right="1220" w:bottom="1420" w:left="1140" w:header="0" w:footer="1223" w:gutter="0"/>
          <w:cols w:space="720"/>
        </w:sectPr>
      </w:pPr>
    </w:p>
    <w:p w:rsidR="00D646E1" w:rsidRDefault="00A07DA3">
      <w:pPr>
        <w:pStyle w:val="ListParagraph"/>
        <w:numPr>
          <w:ilvl w:val="0"/>
          <w:numId w:val="3"/>
        </w:numPr>
        <w:tabs>
          <w:tab w:val="left" w:pos="660"/>
        </w:tabs>
        <w:spacing w:before="191"/>
        <w:ind w:right="928"/>
      </w:pPr>
      <w:r>
        <w:rPr>
          <w:sz w:val="24"/>
        </w:rPr>
        <w:t xml:space="preserve">DEVICES ONLY: As noted above in Step 2, obtain </w:t>
      </w:r>
      <w:r>
        <w:rPr>
          <w:b/>
          <w:sz w:val="24"/>
        </w:rPr>
        <w:t>authorization</w:t>
      </w:r>
      <w:r>
        <w:rPr>
          <w:b/>
          <w:sz w:val="24"/>
        </w:rPr>
        <w:t xml:space="preserve"> from the IDE sponsor</w:t>
      </w:r>
      <w:r>
        <w:rPr>
          <w:sz w:val="24"/>
        </w:rPr>
        <w:t>, if an approved IDE exists for the</w:t>
      </w:r>
      <w:r>
        <w:rPr>
          <w:spacing w:val="-7"/>
          <w:sz w:val="24"/>
        </w:rPr>
        <w:t xml:space="preserve"> </w:t>
      </w:r>
      <w:r>
        <w:rPr>
          <w:sz w:val="24"/>
        </w:rPr>
        <w:t>device.</w:t>
      </w:r>
    </w:p>
    <w:p w:rsidR="00D646E1" w:rsidRDefault="00D646E1">
      <w:pPr>
        <w:pStyle w:val="BodyText"/>
        <w:spacing w:before="1"/>
      </w:pPr>
    </w:p>
    <w:p w:rsidR="00D646E1" w:rsidRDefault="00A07DA3">
      <w:pPr>
        <w:pStyle w:val="Heading1"/>
      </w:pPr>
      <w:r>
        <w:rPr>
          <w:u w:val="single"/>
        </w:rPr>
        <w:t>Step 4: Initiate treatment with the investigational agent.</w:t>
      </w:r>
    </w:p>
    <w:p w:rsidR="00D646E1" w:rsidRDefault="00D646E1">
      <w:pPr>
        <w:pStyle w:val="BodyText"/>
        <w:rPr>
          <w:b/>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646E1">
        <w:trPr>
          <w:trHeight w:val="275"/>
        </w:trPr>
        <w:tc>
          <w:tcPr>
            <w:tcW w:w="4788" w:type="dxa"/>
            <w:shd w:val="clear" w:color="auto" w:fill="D9D9D9"/>
          </w:tcPr>
          <w:p w:rsidR="00D646E1" w:rsidRDefault="00A07DA3">
            <w:pPr>
              <w:pStyle w:val="TableParagraph"/>
              <w:spacing w:line="256" w:lineRule="exact"/>
              <w:rPr>
                <w:b/>
                <w:sz w:val="24"/>
              </w:rPr>
            </w:pPr>
            <w:r>
              <w:rPr>
                <w:b/>
                <w:sz w:val="24"/>
              </w:rPr>
              <w:t>Initiate Use of Drug/Biologic (IND)</w:t>
            </w:r>
          </w:p>
        </w:tc>
        <w:tc>
          <w:tcPr>
            <w:tcW w:w="4788" w:type="dxa"/>
            <w:shd w:val="clear" w:color="auto" w:fill="D9D9D9"/>
          </w:tcPr>
          <w:p w:rsidR="00D646E1" w:rsidRDefault="00A07DA3">
            <w:pPr>
              <w:pStyle w:val="TableParagraph"/>
              <w:spacing w:line="256" w:lineRule="exact"/>
              <w:rPr>
                <w:b/>
                <w:sz w:val="24"/>
              </w:rPr>
            </w:pPr>
            <w:r>
              <w:rPr>
                <w:b/>
                <w:sz w:val="24"/>
              </w:rPr>
              <w:t>Initiate Use of Device (IDE)</w:t>
            </w:r>
          </w:p>
        </w:tc>
      </w:tr>
      <w:tr w:rsidR="00D646E1">
        <w:trPr>
          <w:trHeight w:val="826"/>
        </w:trPr>
        <w:tc>
          <w:tcPr>
            <w:tcW w:w="4788" w:type="dxa"/>
          </w:tcPr>
          <w:p w:rsidR="00D646E1" w:rsidRDefault="00A07DA3">
            <w:pPr>
              <w:pStyle w:val="TableParagraph"/>
              <w:ind w:right="340"/>
              <w:rPr>
                <w:sz w:val="24"/>
              </w:rPr>
            </w:pPr>
            <w:r>
              <w:rPr>
                <w:sz w:val="24"/>
              </w:rPr>
              <w:t>Treatment may begin when the emergency use is authorized by the FDA reviewing official.</w:t>
            </w:r>
          </w:p>
          <w:p w:rsidR="00D646E1" w:rsidRDefault="00A07DA3">
            <w:pPr>
              <w:pStyle w:val="TableParagraph"/>
              <w:spacing w:line="256" w:lineRule="exact"/>
              <w:rPr>
                <w:sz w:val="24"/>
              </w:rPr>
            </w:pPr>
            <w:r>
              <w:rPr>
                <w:sz w:val="24"/>
              </w:rPr>
              <w:t>21 CFR 312.305(d)(2)(i).</w:t>
            </w:r>
          </w:p>
        </w:tc>
        <w:tc>
          <w:tcPr>
            <w:tcW w:w="4788" w:type="dxa"/>
          </w:tcPr>
          <w:p w:rsidR="00D646E1" w:rsidRDefault="00A07DA3">
            <w:pPr>
              <w:pStyle w:val="TableParagraph"/>
              <w:ind w:right="296"/>
              <w:rPr>
                <w:sz w:val="24"/>
              </w:rPr>
            </w:pPr>
            <w:r>
              <w:rPr>
                <w:sz w:val="24"/>
              </w:rPr>
              <w:t>Emergency use of the device may begin when the use is authorized by the IDE sponsor.</w:t>
            </w:r>
          </w:p>
        </w:tc>
      </w:tr>
    </w:tbl>
    <w:p w:rsidR="00D646E1" w:rsidRDefault="00D646E1">
      <w:pPr>
        <w:pStyle w:val="BodyText"/>
        <w:rPr>
          <w:b/>
          <w:sz w:val="26"/>
        </w:rPr>
      </w:pPr>
    </w:p>
    <w:p w:rsidR="00D646E1" w:rsidRDefault="00D646E1">
      <w:pPr>
        <w:pStyle w:val="BodyText"/>
        <w:spacing w:before="11"/>
        <w:rPr>
          <w:b/>
          <w:sz w:val="21"/>
        </w:rPr>
      </w:pPr>
    </w:p>
    <w:p w:rsidR="00D646E1" w:rsidRDefault="00A07DA3">
      <w:pPr>
        <w:ind w:left="300" w:right="516"/>
        <w:rPr>
          <w:b/>
          <w:sz w:val="24"/>
        </w:rPr>
      </w:pPr>
      <w:r>
        <w:rPr>
          <w:b/>
          <w:sz w:val="24"/>
          <w:u w:val="single"/>
        </w:rPr>
        <w:t>Step 5: Submit a follow-up report to the IRB within 5 working days of initiating treatment with the</w:t>
      </w:r>
      <w:r>
        <w:rPr>
          <w:b/>
          <w:sz w:val="24"/>
        </w:rPr>
        <w:t xml:space="preserve"> </w:t>
      </w:r>
      <w:r>
        <w:rPr>
          <w:b/>
          <w:sz w:val="24"/>
          <w:u w:val="single"/>
        </w:rPr>
        <w:t>investigational agent.</w:t>
      </w:r>
    </w:p>
    <w:p w:rsidR="00D646E1" w:rsidRDefault="00D646E1">
      <w:pPr>
        <w:pStyle w:val="BodyText"/>
        <w:spacing w:before="10"/>
        <w:rPr>
          <w:b/>
          <w:sz w:val="15"/>
        </w:rPr>
      </w:pPr>
    </w:p>
    <w:p w:rsidR="00D646E1" w:rsidRDefault="00A07DA3">
      <w:pPr>
        <w:pStyle w:val="BodyText"/>
        <w:spacing w:before="92" w:line="275" w:lineRule="exact"/>
        <w:ind w:left="300"/>
      </w:pPr>
      <w:r>
        <w:t>The report should include the following:</w:t>
      </w:r>
    </w:p>
    <w:p w:rsidR="00D646E1" w:rsidRDefault="00A07DA3">
      <w:pPr>
        <w:pStyle w:val="ListParagraph"/>
        <w:numPr>
          <w:ilvl w:val="1"/>
          <w:numId w:val="3"/>
        </w:numPr>
        <w:tabs>
          <w:tab w:val="left" w:pos="1019"/>
          <w:tab w:val="left" w:pos="1020"/>
        </w:tabs>
        <w:spacing w:line="268" w:lineRule="exact"/>
        <w:rPr>
          <w:rFonts w:ascii="Symbol"/>
        </w:rPr>
      </w:pPr>
      <w:r>
        <w:rPr>
          <w:u w:val="single"/>
        </w:rPr>
        <w:t>Emergency Use Report Form</w:t>
      </w:r>
      <w:r>
        <w:t>;</w:t>
      </w:r>
    </w:p>
    <w:p w:rsidR="00D646E1" w:rsidRDefault="00A07DA3">
      <w:pPr>
        <w:pStyle w:val="ListParagraph"/>
        <w:numPr>
          <w:ilvl w:val="1"/>
          <w:numId w:val="3"/>
        </w:numPr>
        <w:tabs>
          <w:tab w:val="left" w:pos="1019"/>
          <w:tab w:val="left" w:pos="1020"/>
        </w:tabs>
        <w:spacing w:line="269" w:lineRule="exact"/>
        <w:rPr>
          <w:rFonts w:ascii="Symbol"/>
        </w:rPr>
      </w:pPr>
      <w:r>
        <w:t>All relevant attachments requested in the report</w:t>
      </w:r>
      <w:r>
        <w:rPr>
          <w:spacing w:val="-5"/>
        </w:rPr>
        <w:t xml:space="preserve"> </w:t>
      </w:r>
      <w:r>
        <w:t>form.</w:t>
      </w:r>
    </w:p>
    <w:p w:rsidR="00D646E1" w:rsidRDefault="00D646E1">
      <w:pPr>
        <w:pStyle w:val="BodyText"/>
        <w:spacing w:before="10"/>
        <w:rPr>
          <w:sz w:val="23"/>
        </w:rPr>
      </w:pPr>
    </w:p>
    <w:p w:rsidR="00D646E1" w:rsidRDefault="00A07DA3">
      <w:pPr>
        <w:pStyle w:val="Heading1"/>
      </w:pPr>
      <w:r>
        <w:rPr>
          <w:u w:val="single"/>
        </w:rPr>
        <w:t xml:space="preserve">Step 6: </w:t>
      </w:r>
      <w:r>
        <w:rPr>
          <w:u w:val="single"/>
        </w:rPr>
        <w:t>Submit a follow-up report to the FDA or sponsor within 5 working days.</w:t>
      </w:r>
    </w:p>
    <w:p w:rsidR="00D646E1" w:rsidRDefault="00D646E1">
      <w:pPr>
        <w:pStyle w:val="BodyText"/>
        <w:spacing w:before="1"/>
        <w:rPr>
          <w:b/>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646E1">
        <w:trPr>
          <w:trHeight w:val="275"/>
        </w:trPr>
        <w:tc>
          <w:tcPr>
            <w:tcW w:w="4788" w:type="dxa"/>
            <w:shd w:val="clear" w:color="auto" w:fill="D9D9D9"/>
          </w:tcPr>
          <w:p w:rsidR="00D646E1" w:rsidRDefault="00A07DA3">
            <w:pPr>
              <w:pStyle w:val="TableParagraph"/>
              <w:spacing w:line="256" w:lineRule="exact"/>
              <w:rPr>
                <w:b/>
                <w:sz w:val="24"/>
              </w:rPr>
            </w:pPr>
            <w:r>
              <w:rPr>
                <w:b/>
                <w:sz w:val="24"/>
              </w:rPr>
              <w:t>Reports for Drugs/Biologics = IND</w:t>
            </w:r>
          </w:p>
        </w:tc>
        <w:tc>
          <w:tcPr>
            <w:tcW w:w="4788" w:type="dxa"/>
            <w:shd w:val="clear" w:color="auto" w:fill="D9D9D9"/>
          </w:tcPr>
          <w:p w:rsidR="00D646E1" w:rsidRDefault="00A07DA3">
            <w:pPr>
              <w:pStyle w:val="TableParagraph"/>
              <w:spacing w:line="256" w:lineRule="exact"/>
              <w:rPr>
                <w:b/>
                <w:sz w:val="24"/>
              </w:rPr>
            </w:pPr>
            <w:r>
              <w:rPr>
                <w:b/>
                <w:sz w:val="24"/>
              </w:rPr>
              <w:t>Reports for Devices = IDE</w:t>
            </w:r>
          </w:p>
        </w:tc>
      </w:tr>
      <w:tr w:rsidR="00D646E1">
        <w:trPr>
          <w:trHeight w:val="6609"/>
        </w:trPr>
        <w:tc>
          <w:tcPr>
            <w:tcW w:w="4788" w:type="dxa"/>
          </w:tcPr>
          <w:p w:rsidR="00D646E1" w:rsidRDefault="00A07DA3">
            <w:pPr>
              <w:pStyle w:val="TableParagraph"/>
              <w:ind w:right="155"/>
              <w:rPr>
                <w:sz w:val="24"/>
              </w:rPr>
            </w:pPr>
            <w:r>
              <w:rPr>
                <w:sz w:val="24"/>
              </w:rPr>
              <w:t>Physician must submit an expanded access submission to FDA within 15 working days of FDA’s authorization of the emergency use. 21 CFR 312.310(d)(2). See Form FDA 1571 and</w:t>
            </w:r>
          </w:p>
          <w:p w:rsidR="00D646E1" w:rsidRDefault="00A07DA3">
            <w:pPr>
              <w:pStyle w:val="TableParagraph"/>
              <w:ind w:right="89"/>
              <w:rPr>
                <w:sz w:val="24"/>
              </w:rPr>
            </w:pPr>
            <w:r>
              <w:rPr>
                <w:sz w:val="24"/>
              </w:rPr>
              <w:t xml:space="preserve">Instructions, </w:t>
            </w:r>
            <w:hyperlink r:id="rId15">
              <w:r>
                <w:rPr>
                  <w:sz w:val="24"/>
                  <w:u w:val="single"/>
                </w:rPr>
                <w:t>http</w:t>
              </w:r>
              <w:r>
                <w:rPr>
                  <w:sz w:val="24"/>
                  <w:u w:val="single"/>
                </w:rPr>
                <w:t>://www.fda.gov/Drugs/DevelopmentApprovalPro</w:t>
              </w:r>
            </w:hyperlink>
            <w:r>
              <w:rPr>
                <w:sz w:val="24"/>
              </w:rPr>
              <w:t xml:space="preserve"> </w:t>
            </w:r>
            <w:r>
              <w:rPr>
                <w:sz w:val="24"/>
                <w:u w:val="single"/>
              </w:rPr>
              <w:t>cess/HowDrugsareDevelopedandApproved/Approva</w:t>
            </w:r>
            <w:r>
              <w:rPr>
                <w:sz w:val="24"/>
              </w:rPr>
              <w:t xml:space="preserve"> </w:t>
            </w:r>
            <w:r>
              <w:rPr>
                <w:sz w:val="24"/>
                <w:u w:val="single"/>
              </w:rPr>
              <w:t>lApplications/InvestigationalNewDrugINDApplicatio</w:t>
            </w:r>
            <w:r>
              <w:rPr>
                <w:sz w:val="24"/>
              </w:rPr>
              <w:t xml:space="preserve"> </w:t>
            </w:r>
            <w:r>
              <w:rPr>
                <w:sz w:val="24"/>
                <w:u w:val="single"/>
              </w:rPr>
              <w:t>n/ucm071098.htm</w:t>
            </w:r>
          </w:p>
        </w:tc>
        <w:tc>
          <w:tcPr>
            <w:tcW w:w="4788" w:type="dxa"/>
          </w:tcPr>
          <w:p w:rsidR="00D646E1" w:rsidRDefault="00A07DA3">
            <w:pPr>
              <w:pStyle w:val="TableParagraph"/>
              <w:ind w:right="161"/>
              <w:rPr>
                <w:sz w:val="24"/>
              </w:rPr>
            </w:pPr>
            <w:r>
              <w:rPr>
                <w:sz w:val="24"/>
              </w:rPr>
              <w:t xml:space="preserve">Deviations from the investigational plan: An investigator shall </w:t>
            </w:r>
            <w:r>
              <w:rPr>
                <w:b/>
                <w:sz w:val="24"/>
              </w:rPr>
              <w:t>notify the IDE sponsor (who will noti</w:t>
            </w:r>
            <w:r>
              <w:rPr>
                <w:b/>
                <w:sz w:val="24"/>
              </w:rPr>
              <w:t xml:space="preserve">fy the FDA) </w:t>
            </w:r>
            <w:r>
              <w:rPr>
                <w:sz w:val="24"/>
              </w:rPr>
              <w:t xml:space="preserve">of any deviation from the investigational plan to protect the life or physical well-being of a subject in an emergency. Such notice shall be given as soon as possible, but in no event later than </w:t>
            </w:r>
            <w:r>
              <w:rPr>
                <w:b/>
                <w:sz w:val="24"/>
              </w:rPr>
              <w:t xml:space="preserve">5 working days after the emergency use occurred. </w:t>
            </w:r>
            <w:r>
              <w:rPr>
                <w:sz w:val="24"/>
              </w:rPr>
              <w:t>21 CFR 812.35(a)(2); 812.150(a)(4).</w:t>
            </w:r>
          </w:p>
          <w:p w:rsidR="00D646E1" w:rsidRDefault="00A07DA3">
            <w:pPr>
              <w:pStyle w:val="TableParagraph"/>
              <w:numPr>
                <w:ilvl w:val="0"/>
                <w:numId w:val="2"/>
              </w:numPr>
              <w:tabs>
                <w:tab w:val="left" w:pos="229"/>
              </w:tabs>
              <w:ind w:right="182" w:firstLine="0"/>
              <w:rPr>
                <w:sz w:val="24"/>
              </w:rPr>
            </w:pPr>
            <w:r>
              <w:rPr>
                <w:sz w:val="24"/>
              </w:rPr>
              <w:t xml:space="preserve">The report should contain a </w:t>
            </w:r>
            <w:r>
              <w:rPr>
                <w:b/>
                <w:sz w:val="24"/>
              </w:rPr>
              <w:t xml:space="preserve">summary of the conditions </w:t>
            </w:r>
            <w:r>
              <w:rPr>
                <w:sz w:val="24"/>
              </w:rPr>
              <w:t xml:space="preserve">constituting the emergency, the </w:t>
            </w:r>
            <w:r>
              <w:rPr>
                <w:b/>
                <w:sz w:val="24"/>
              </w:rPr>
              <w:t xml:space="preserve">patient protection measures </w:t>
            </w:r>
            <w:r>
              <w:rPr>
                <w:sz w:val="24"/>
              </w:rPr>
              <w:t xml:space="preserve">that were followed, and patient </w:t>
            </w:r>
            <w:r>
              <w:rPr>
                <w:b/>
                <w:sz w:val="24"/>
              </w:rPr>
              <w:t>outcome</w:t>
            </w:r>
            <w:r>
              <w:rPr>
                <w:b/>
                <w:spacing w:val="-1"/>
                <w:sz w:val="24"/>
              </w:rPr>
              <w:t xml:space="preserve"> </w:t>
            </w:r>
            <w:r>
              <w:rPr>
                <w:sz w:val="24"/>
              </w:rPr>
              <w:t>information.</w:t>
            </w:r>
          </w:p>
          <w:p w:rsidR="00D646E1" w:rsidRDefault="00D646E1">
            <w:pPr>
              <w:pStyle w:val="TableParagraph"/>
              <w:spacing w:before="10"/>
              <w:ind w:left="0"/>
              <w:rPr>
                <w:b/>
                <w:sz w:val="23"/>
              </w:rPr>
            </w:pPr>
          </w:p>
          <w:p w:rsidR="00D646E1" w:rsidRDefault="00A07DA3">
            <w:pPr>
              <w:pStyle w:val="TableParagraph"/>
              <w:numPr>
                <w:ilvl w:val="0"/>
                <w:numId w:val="2"/>
              </w:numPr>
              <w:tabs>
                <w:tab w:val="left" w:pos="229"/>
              </w:tabs>
              <w:spacing w:before="1"/>
              <w:ind w:right="194" w:firstLine="0"/>
              <w:rPr>
                <w:sz w:val="24"/>
              </w:rPr>
            </w:pPr>
            <w:r>
              <w:rPr>
                <w:sz w:val="24"/>
              </w:rPr>
              <w:t>If no IDE exists, the physician should follow the ab</w:t>
            </w:r>
            <w:r>
              <w:rPr>
                <w:sz w:val="24"/>
              </w:rPr>
              <w:t>ove procedures and report the emergency use</w:t>
            </w:r>
            <w:r>
              <w:rPr>
                <w:spacing w:val="-15"/>
                <w:sz w:val="24"/>
              </w:rPr>
              <w:t xml:space="preserve"> </w:t>
            </w:r>
            <w:r>
              <w:rPr>
                <w:sz w:val="24"/>
              </w:rPr>
              <w:t>to CDRH or</w:t>
            </w:r>
            <w:r>
              <w:rPr>
                <w:spacing w:val="-1"/>
                <w:sz w:val="24"/>
              </w:rPr>
              <w:t xml:space="preserve"> </w:t>
            </w:r>
            <w:r>
              <w:rPr>
                <w:sz w:val="24"/>
              </w:rPr>
              <w:t>CBER.</w:t>
            </w:r>
          </w:p>
          <w:p w:rsidR="00D646E1" w:rsidRDefault="00D646E1">
            <w:pPr>
              <w:pStyle w:val="TableParagraph"/>
              <w:spacing w:before="11"/>
              <w:ind w:left="0"/>
              <w:rPr>
                <w:b/>
                <w:sz w:val="23"/>
              </w:rPr>
            </w:pPr>
          </w:p>
          <w:p w:rsidR="00D646E1" w:rsidRDefault="00A07DA3">
            <w:pPr>
              <w:pStyle w:val="TableParagraph"/>
              <w:numPr>
                <w:ilvl w:val="0"/>
                <w:numId w:val="2"/>
              </w:numPr>
              <w:tabs>
                <w:tab w:val="left" w:pos="229"/>
              </w:tabs>
              <w:ind w:right="160" w:firstLine="0"/>
              <w:rPr>
                <w:sz w:val="24"/>
              </w:rPr>
            </w:pPr>
            <w:r>
              <w:rPr>
                <w:sz w:val="24"/>
              </w:rPr>
              <w:t>Informed consent: If an investigator uses a device without obtaining informed consent, the investigator shall report such use to the sponsor and the reviewing IRB within 5 working days after the</w:t>
            </w:r>
            <w:r>
              <w:rPr>
                <w:sz w:val="24"/>
              </w:rPr>
              <w:t xml:space="preserve"> use occurs. 21 CFR</w:t>
            </w:r>
            <w:r>
              <w:rPr>
                <w:spacing w:val="-2"/>
                <w:sz w:val="24"/>
              </w:rPr>
              <w:t xml:space="preserve"> </w:t>
            </w:r>
            <w:r>
              <w:rPr>
                <w:sz w:val="24"/>
              </w:rPr>
              <w:t>812.150(a)(5).</w:t>
            </w:r>
          </w:p>
        </w:tc>
      </w:tr>
    </w:tbl>
    <w:p w:rsidR="00D646E1" w:rsidRDefault="00D646E1">
      <w:pPr>
        <w:rPr>
          <w:sz w:val="24"/>
        </w:rPr>
        <w:sectPr w:rsidR="00D646E1">
          <w:pgSz w:w="12240" w:h="15840"/>
          <w:pgMar w:top="1500" w:right="1220" w:bottom="1520" w:left="1140" w:header="0" w:footer="1223" w:gutter="0"/>
          <w:cols w:space="720"/>
        </w:sectPr>
      </w:pPr>
    </w:p>
    <w:p w:rsidR="00D646E1" w:rsidRDefault="00D646E1">
      <w:pPr>
        <w:pStyle w:val="BodyText"/>
        <w:rPr>
          <w:b/>
          <w:sz w:val="20"/>
        </w:rPr>
      </w:pPr>
    </w:p>
    <w:p w:rsidR="00D646E1" w:rsidRDefault="00D646E1">
      <w:pPr>
        <w:pStyle w:val="BodyText"/>
        <w:spacing w:before="8"/>
        <w:rPr>
          <w:b/>
          <w:sz w:val="22"/>
        </w:rPr>
      </w:pPr>
    </w:p>
    <w:p w:rsidR="00D646E1" w:rsidRDefault="00A07DA3">
      <w:pPr>
        <w:ind w:left="300"/>
        <w:rPr>
          <w:b/>
          <w:sz w:val="24"/>
        </w:rPr>
      </w:pPr>
      <w:r>
        <w:rPr>
          <w:b/>
          <w:sz w:val="24"/>
          <w:u w:val="single"/>
        </w:rPr>
        <w:t>Step 7: Convened IRB reviews follow-up report of the emergency use.</w:t>
      </w:r>
    </w:p>
    <w:p w:rsidR="00D646E1" w:rsidRDefault="00D646E1">
      <w:pPr>
        <w:pStyle w:val="BodyText"/>
        <w:rPr>
          <w:b/>
        </w:rPr>
      </w:pPr>
    </w:p>
    <w:p w:rsidR="00D646E1" w:rsidRDefault="00A07DA3">
      <w:pPr>
        <w:pStyle w:val="ListParagraph"/>
        <w:numPr>
          <w:ilvl w:val="1"/>
          <w:numId w:val="3"/>
        </w:numPr>
        <w:tabs>
          <w:tab w:val="left" w:pos="1019"/>
          <w:tab w:val="left" w:pos="1020"/>
        </w:tabs>
        <w:ind w:right="235"/>
        <w:rPr>
          <w:rFonts w:ascii="Symbol"/>
          <w:sz w:val="24"/>
        </w:rPr>
      </w:pPr>
      <w:r>
        <w:rPr>
          <w:sz w:val="24"/>
        </w:rPr>
        <w:t>The IRB will review whether the situation satisfied the emergency use criteria, whether the physician followed reasonable patient protection measures under the circumstances, the patient outcome information, and whether future uses of the investigational t</w:t>
      </w:r>
      <w:r>
        <w:rPr>
          <w:sz w:val="24"/>
        </w:rPr>
        <w:t>est article are anticipated such that an application should be submitted to the</w:t>
      </w:r>
      <w:r>
        <w:rPr>
          <w:spacing w:val="-4"/>
          <w:sz w:val="24"/>
        </w:rPr>
        <w:t xml:space="preserve"> </w:t>
      </w:r>
      <w:r>
        <w:rPr>
          <w:sz w:val="24"/>
        </w:rPr>
        <w:t>IRB.</w:t>
      </w:r>
    </w:p>
    <w:p w:rsidR="00D646E1" w:rsidRDefault="00A07DA3">
      <w:pPr>
        <w:pStyle w:val="ListParagraph"/>
        <w:numPr>
          <w:ilvl w:val="1"/>
          <w:numId w:val="3"/>
        </w:numPr>
        <w:tabs>
          <w:tab w:val="left" w:pos="1019"/>
          <w:tab w:val="left" w:pos="1020"/>
        </w:tabs>
        <w:ind w:right="401"/>
        <w:rPr>
          <w:rFonts w:ascii="Symbol" w:hAnsi="Symbol"/>
          <w:sz w:val="24"/>
        </w:rPr>
      </w:pPr>
      <w:r>
        <w:rPr>
          <w:sz w:val="24"/>
        </w:rPr>
        <w:t>Subsequent emergency uses of the investigational test article for the same indication should not occur unless the physician or another Phoebe Putney Memorial Hospital’s pr</w:t>
      </w:r>
      <w:r>
        <w:rPr>
          <w:sz w:val="24"/>
        </w:rPr>
        <w:t xml:space="preserve">ovider obtains </w:t>
      </w:r>
      <w:r>
        <w:rPr>
          <w:b/>
          <w:sz w:val="24"/>
        </w:rPr>
        <w:t xml:space="preserve">FDA and IRB approval </w:t>
      </w:r>
      <w:r>
        <w:rPr>
          <w:sz w:val="24"/>
        </w:rPr>
        <w:t>for the drug/biologic/device and its use. (FDA acknowledges that it would be inappropriate</w:t>
      </w:r>
      <w:r>
        <w:rPr>
          <w:spacing w:val="-4"/>
          <w:sz w:val="24"/>
        </w:rPr>
        <w:t xml:space="preserve"> </w:t>
      </w:r>
      <w:r>
        <w:rPr>
          <w:sz w:val="24"/>
        </w:rPr>
        <w:t>to</w:t>
      </w:r>
      <w:r>
        <w:rPr>
          <w:spacing w:val="-3"/>
          <w:sz w:val="24"/>
        </w:rPr>
        <w:t xml:space="preserve"> </w:t>
      </w:r>
      <w:r>
        <w:rPr>
          <w:sz w:val="24"/>
        </w:rPr>
        <w:t>deny</w:t>
      </w:r>
      <w:r>
        <w:rPr>
          <w:spacing w:val="-3"/>
          <w:sz w:val="24"/>
        </w:rPr>
        <w:t xml:space="preserve"> </w:t>
      </w:r>
      <w:r>
        <w:rPr>
          <w:sz w:val="24"/>
        </w:rPr>
        <w:t>emergency</w:t>
      </w:r>
      <w:r>
        <w:rPr>
          <w:spacing w:val="-4"/>
          <w:sz w:val="24"/>
        </w:rPr>
        <w:t xml:space="preserve"> </w:t>
      </w:r>
      <w:r>
        <w:rPr>
          <w:sz w:val="24"/>
        </w:rPr>
        <w:t>treatment</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second</w:t>
      </w:r>
      <w:r>
        <w:rPr>
          <w:spacing w:val="-3"/>
          <w:sz w:val="24"/>
        </w:rPr>
        <w:t xml:space="preserve"> </w:t>
      </w:r>
      <w:r>
        <w:rPr>
          <w:sz w:val="24"/>
        </w:rPr>
        <w:t>patient</w:t>
      </w:r>
      <w:r>
        <w:rPr>
          <w:spacing w:val="-3"/>
          <w:sz w:val="24"/>
        </w:rPr>
        <w:t xml:space="preserve"> </w:t>
      </w:r>
      <w:r>
        <w:rPr>
          <w:sz w:val="24"/>
        </w:rPr>
        <w:t>if</w:t>
      </w:r>
      <w:r>
        <w:rPr>
          <w:spacing w:val="-3"/>
          <w:sz w:val="24"/>
        </w:rPr>
        <w:t xml:space="preserve"> </w:t>
      </w:r>
      <w:r>
        <w:rPr>
          <w:sz w:val="24"/>
        </w:rPr>
        <w:t>the</w:t>
      </w:r>
      <w:r>
        <w:rPr>
          <w:spacing w:val="-4"/>
          <w:sz w:val="24"/>
        </w:rPr>
        <w:t xml:space="preserve"> </w:t>
      </w:r>
      <w:r>
        <w:rPr>
          <w:sz w:val="24"/>
        </w:rPr>
        <w:t>only</w:t>
      </w:r>
      <w:r>
        <w:rPr>
          <w:spacing w:val="-3"/>
          <w:sz w:val="24"/>
        </w:rPr>
        <w:t xml:space="preserve"> </w:t>
      </w:r>
      <w:r>
        <w:rPr>
          <w:sz w:val="24"/>
        </w:rPr>
        <w:t>obstacle</w:t>
      </w:r>
      <w:r>
        <w:rPr>
          <w:spacing w:val="-3"/>
          <w:sz w:val="24"/>
        </w:rPr>
        <w:t xml:space="preserve"> </w:t>
      </w:r>
      <w:r>
        <w:rPr>
          <w:sz w:val="24"/>
        </w:rPr>
        <w:t>is</w:t>
      </w:r>
      <w:r>
        <w:rPr>
          <w:spacing w:val="-4"/>
          <w:sz w:val="24"/>
        </w:rPr>
        <w:t xml:space="preserve"> </w:t>
      </w:r>
      <w:r>
        <w:rPr>
          <w:sz w:val="24"/>
        </w:rPr>
        <w:t>that</w:t>
      </w:r>
      <w:r>
        <w:rPr>
          <w:spacing w:val="-3"/>
          <w:sz w:val="24"/>
        </w:rPr>
        <w:t xml:space="preserve"> </w:t>
      </w:r>
      <w:r>
        <w:rPr>
          <w:sz w:val="24"/>
        </w:rPr>
        <w:t>the</w:t>
      </w:r>
      <w:r>
        <w:rPr>
          <w:spacing w:val="-3"/>
          <w:sz w:val="24"/>
        </w:rPr>
        <w:t xml:space="preserve"> </w:t>
      </w:r>
      <w:r>
        <w:rPr>
          <w:sz w:val="24"/>
        </w:rPr>
        <w:t>IRB has not had sufficient time to convene a mee</w:t>
      </w:r>
      <w:r>
        <w:rPr>
          <w:sz w:val="24"/>
        </w:rPr>
        <w:t>ting to review the</w:t>
      </w:r>
      <w:r>
        <w:rPr>
          <w:spacing w:val="-15"/>
          <w:sz w:val="24"/>
        </w:rPr>
        <w:t xml:space="preserve"> </w:t>
      </w:r>
      <w:r>
        <w:rPr>
          <w:sz w:val="24"/>
        </w:rPr>
        <w:t>application.)</w:t>
      </w:r>
    </w:p>
    <w:p w:rsidR="00D646E1" w:rsidRDefault="00A07DA3">
      <w:pPr>
        <w:pStyle w:val="ListParagraph"/>
        <w:numPr>
          <w:ilvl w:val="1"/>
          <w:numId w:val="3"/>
        </w:numPr>
        <w:tabs>
          <w:tab w:val="left" w:pos="1019"/>
          <w:tab w:val="left" w:pos="1020"/>
        </w:tabs>
        <w:spacing w:line="237" w:lineRule="auto"/>
        <w:ind w:right="335"/>
        <w:rPr>
          <w:rFonts w:ascii="Symbol"/>
          <w:sz w:val="24"/>
        </w:rPr>
      </w:pPr>
      <w:r>
        <w:rPr>
          <w:sz w:val="24"/>
        </w:rPr>
        <w:t xml:space="preserve">If an IND or IDE application for subsequent use has been filed with FDA and FDA </w:t>
      </w:r>
      <w:r>
        <w:rPr>
          <w:i/>
          <w:sz w:val="24"/>
        </w:rPr>
        <w:t xml:space="preserve">disapproves </w:t>
      </w:r>
      <w:r>
        <w:rPr>
          <w:sz w:val="24"/>
        </w:rPr>
        <w:t>the application, the drug/biologic/device may not be used even if the circumstances constituting an emergency exist.</w:t>
      </w:r>
    </w:p>
    <w:p w:rsidR="00D646E1" w:rsidRDefault="00D646E1">
      <w:pPr>
        <w:pStyle w:val="BodyText"/>
        <w:spacing w:before="1"/>
      </w:pPr>
    </w:p>
    <w:p w:rsidR="00D646E1" w:rsidRDefault="00A07DA3">
      <w:pPr>
        <w:pStyle w:val="Heading1"/>
        <w:ind w:left="299"/>
      </w:pPr>
      <w:r>
        <w:rPr>
          <w:u w:val="single"/>
        </w:rPr>
        <w:t>Step 8: Physi</w:t>
      </w:r>
      <w:r>
        <w:rPr>
          <w:u w:val="single"/>
        </w:rPr>
        <w:t>cian/Investigator receives IRB correspondence.</w:t>
      </w:r>
    </w:p>
    <w:p w:rsidR="00D646E1" w:rsidRDefault="00D646E1">
      <w:pPr>
        <w:pStyle w:val="BodyText"/>
        <w:rPr>
          <w:b/>
          <w:sz w:val="16"/>
        </w:rPr>
      </w:pPr>
    </w:p>
    <w:p w:rsidR="00D646E1" w:rsidRDefault="00A07DA3">
      <w:pPr>
        <w:pStyle w:val="BodyText"/>
        <w:spacing w:before="92"/>
        <w:ind w:left="300" w:right="830"/>
      </w:pPr>
      <w:r>
        <w:t>The IRB outcome letter will either confirm that all regulatory requirements have been satisfied, or will highlight deficiencies and request additional actions.</w:t>
      </w:r>
    </w:p>
    <w:p w:rsidR="00D646E1" w:rsidRDefault="00D646E1">
      <w:pPr>
        <w:pStyle w:val="BodyText"/>
        <w:spacing w:before="1"/>
      </w:pPr>
    </w:p>
    <w:p w:rsidR="00D646E1" w:rsidRDefault="00A07DA3">
      <w:pPr>
        <w:pStyle w:val="Heading1"/>
      </w:pPr>
      <w:r>
        <w:rPr>
          <w:u w:val="single"/>
        </w:rPr>
        <w:t>REFERENCES</w:t>
      </w:r>
    </w:p>
    <w:p w:rsidR="00D646E1" w:rsidRDefault="00A07DA3">
      <w:pPr>
        <w:pStyle w:val="ListParagraph"/>
        <w:numPr>
          <w:ilvl w:val="1"/>
          <w:numId w:val="3"/>
        </w:numPr>
        <w:tabs>
          <w:tab w:val="left" w:pos="1019"/>
          <w:tab w:val="left" w:pos="1020"/>
        </w:tabs>
        <w:spacing w:line="293" w:lineRule="exact"/>
        <w:rPr>
          <w:rFonts w:ascii="Symbol"/>
          <w:sz w:val="24"/>
        </w:rPr>
      </w:pPr>
      <w:r>
        <w:rPr>
          <w:sz w:val="24"/>
        </w:rPr>
        <w:t>21 CFR 50.23(b) &amp;</w:t>
      </w:r>
      <w:r>
        <w:rPr>
          <w:spacing w:val="-1"/>
          <w:sz w:val="24"/>
        </w:rPr>
        <w:t xml:space="preserve"> </w:t>
      </w:r>
      <w:r>
        <w:rPr>
          <w:sz w:val="24"/>
        </w:rPr>
        <w:t>(c)</w:t>
      </w:r>
    </w:p>
    <w:p w:rsidR="00D646E1" w:rsidRDefault="00A07DA3">
      <w:pPr>
        <w:pStyle w:val="ListParagraph"/>
        <w:numPr>
          <w:ilvl w:val="1"/>
          <w:numId w:val="3"/>
        </w:numPr>
        <w:tabs>
          <w:tab w:val="left" w:pos="1019"/>
          <w:tab w:val="left" w:pos="1020"/>
        </w:tabs>
        <w:spacing w:line="292" w:lineRule="exact"/>
        <w:rPr>
          <w:rFonts w:ascii="Symbol"/>
          <w:sz w:val="24"/>
        </w:rPr>
      </w:pPr>
      <w:r>
        <w:rPr>
          <w:sz w:val="24"/>
        </w:rPr>
        <w:t>21 CFR</w:t>
      </w:r>
      <w:r>
        <w:rPr>
          <w:spacing w:val="-1"/>
          <w:sz w:val="24"/>
        </w:rPr>
        <w:t xml:space="preserve"> </w:t>
      </w:r>
      <w:r>
        <w:rPr>
          <w:sz w:val="24"/>
        </w:rPr>
        <w:t>56.104(c)</w:t>
      </w:r>
    </w:p>
    <w:p w:rsidR="00D646E1" w:rsidRDefault="00A07DA3">
      <w:pPr>
        <w:pStyle w:val="ListParagraph"/>
        <w:numPr>
          <w:ilvl w:val="1"/>
          <w:numId w:val="3"/>
        </w:numPr>
        <w:tabs>
          <w:tab w:val="left" w:pos="1019"/>
          <w:tab w:val="left" w:pos="1020"/>
        </w:tabs>
        <w:spacing w:line="292" w:lineRule="exact"/>
        <w:rPr>
          <w:rFonts w:ascii="Symbol"/>
          <w:sz w:val="24"/>
        </w:rPr>
      </w:pPr>
      <w:r>
        <w:rPr>
          <w:sz w:val="24"/>
        </w:rPr>
        <w:t>21 CFR</w:t>
      </w:r>
      <w:r>
        <w:rPr>
          <w:spacing w:val="-1"/>
          <w:sz w:val="24"/>
        </w:rPr>
        <w:t xml:space="preserve"> </w:t>
      </w:r>
      <w:r>
        <w:rPr>
          <w:sz w:val="24"/>
        </w:rPr>
        <w:t>56.102(d)(1)</w:t>
      </w:r>
    </w:p>
    <w:p w:rsidR="00D646E1" w:rsidRDefault="00A07DA3">
      <w:pPr>
        <w:pStyle w:val="ListParagraph"/>
        <w:numPr>
          <w:ilvl w:val="1"/>
          <w:numId w:val="3"/>
        </w:numPr>
        <w:tabs>
          <w:tab w:val="left" w:pos="1019"/>
          <w:tab w:val="left" w:pos="1020"/>
        </w:tabs>
        <w:spacing w:line="292" w:lineRule="exact"/>
        <w:rPr>
          <w:rFonts w:ascii="Symbol"/>
          <w:sz w:val="24"/>
        </w:rPr>
      </w:pPr>
      <w:r>
        <w:rPr>
          <w:sz w:val="24"/>
        </w:rPr>
        <w:t>21 CFR</w:t>
      </w:r>
      <w:r>
        <w:rPr>
          <w:spacing w:val="-1"/>
          <w:sz w:val="24"/>
        </w:rPr>
        <w:t xml:space="preserve"> </w:t>
      </w:r>
      <w:r>
        <w:rPr>
          <w:sz w:val="24"/>
        </w:rPr>
        <w:t>312.300(b)</w:t>
      </w:r>
    </w:p>
    <w:p w:rsidR="00D646E1" w:rsidRDefault="00A07DA3">
      <w:pPr>
        <w:pStyle w:val="ListParagraph"/>
        <w:numPr>
          <w:ilvl w:val="1"/>
          <w:numId w:val="3"/>
        </w:numPr>
        <w:tabs>
          <w:tab w:val="left" w:pos="1019"/>
          <w:tab w:val="left" w:pos="1020"/>
        </w:tabs>
        <w:spacing w:line="292" w:lineRule="exact"/>
        <w:rPr>
          <w:rFonts w:ascii="Symbol"/>
          <w:sz w:val="24"/>
        </w:rPr>
      </w:pPr>
      <w:r>
        <w:rPr>
          <w:sz w:val="24"/>
        </w:rPr>
        <w:t>21 CFR 312.305(a)(1, 2, 3) &amp;</w:t>
      </w:r>
      <w:r>
        <w:rPr>
          <w:spacing w:val="-2"/>
          <w:sz w:val="24"/>
        </w:rPr>
        <w:t xml:space="preserve"> </w:t>
      </w:r>
      <w:r>
        <w:rPr>
          <w:sz w:val="24"/>
        </w:rPr>
        <w:t>(d)(2)(i)</w:t>
      </w:r>
    </w:p>
    <w:p w:rsidR="00D646E1" w:rsidRDefault="00A07DA3">
      <w:pPr>
        <w:pStyle w:val="ListParagraph"/>
        <w:numPr>
          <w:ilvl w:val="1"/>
          <w:numId w:val="3"/>
        </w:numPr>
        <w:tabs>
          <w:tab w:val="left" w:pos="1019"/>
          <w:tab w:val="left" w:pos="1020"/>
        </w:tabs>
        <w:spacing w:line="292" w:lineRule="exact"/>
        <w:rPr>
          <w:rFonts w:ascii="Symbol"/>
          <w:sz w:val="24"/>
        </w:rPr>
      </w:pPr>
      <w:r>
        <w:rPr>
          <w:sz w:val="24"/>
        </w:rPr>
        <w:t>21 CFR 312.310(a)(1) &amp;</w:t>
      </w:r>
      <w:r>
        <w:rPr>
          <w:spacing w:val="-1"/>
          <w:sz w:val="24"/>
        </w:rPr>
        <w:t xml:space="preserve"> </w:t>
      </w:r>
      <w:r>
        <w:rPr>
          <w:sz w:val="24"/>
        </w:rPr>
        <w:t>(2)</w:t>
      </w:r>
    </w:p>
    <w:p w:rsidR="00D646E1" w:rsidRDefault="00A07DA3">
      <w:pPr>
        <w:pStyle w:val="ListParagraph"/>
        <w:numPr>
          <w:ilvl w:val="1"/>
          <w:numId w:val="3"/>
        </w:numPr>
        <w:tabs>
          <w:tab w:val="left" w:pos="1019"/>
          <w:tab w:val="left" w:pos="1020"/>
        </w:tabs>
        <w:spacing w:line="292" w:lineRule="exact"/>
        <w:rPr>
          <w:rFonts w:ascii="Symbol"/>
          <w:sz w:val="24"/>
        </w:rPr>
      </w:pPr>
      <w:r>
        <w:rPr>
          <w:sz w:val="24"/>
        </w:rPr>
        <w:t>21 CFR</w:t>
      </w:r>
      <w:r>
        <w:rPr>
          <w:spacing w:val="-1"/>
          <w:sz w:val="24"/>
        </w:rPr>
        <w:t xml:space="preserve"> </w:t>
      </w:r>
      <w:r>
        <w:rPr>
          <w:sz w:val="24"/>
        </w:rPr>
        <w:t>312.310(d)(2)</w:t>
      </w:r>
    </w:p>
    <w:p w:rsidR="00D646E1" w:rsidRDefault="00A07DA3">
      <w:pPr>
        <w:pStyle w:val="ListParagraph"/>
        <w:numPr>
          <w:ilvl w:val="1"/>
          <w:numId w:val="3"/>
        </w:numPr>
        <w:tabs>
          <w:tab w:val="left" w:pos="1019"/>
          <w:tab w:val="left" w:pos="1020"/>
        </w:tabs>
        <w:spacing w:line="292" w:lineRule="exact"/>
        <w:rPr>
          <w:rFonts w:ascii="Symbol"/>
          <w:sz w:val="24"/>
        </w:rPr>
      </w:pPr>
      <w:r>
        <w:rPr>
          <w:sz w:val="24"/>
        </w:rPr>
        <w:t>21 CFR</w:t>
      </w:r>
      <w:r>
        <w:rPr>
          <w:spacing w:val="-1"/>
          <w:sz w:val="24"/>
        </w:rPr>
        <w:t xml:space="preserve"> </w:t>
      </w:r>
      <w:r>
        <w:rPr>
          <w:sz w:val="24"/>
        </w:rPr>
        <w:t>812.35(a)(2)</w:t>
      </w:r>
    </w:p>
    <w:p w:rsidR="00D646E1" w:rsidRDefault="00A07DA3">
      <w:pPr>
        <w:pStyle w:val="ListParagraph"/>
        <w:numPr>
          <w:ilvl w:val="1"/>
          <w:numId w:val="3"/>
        </w:numPr>
        <w:tabs>
          <w:tab w:val="left" w:pos="1019"/>
          <w:tab w:val="left" w:pos="1020"/>
        </w:tabs>
        <w:spacing w:line="293" w:lineRule="exact"/>
        <w:rPr>
          <w:rFonts w:ascii="Symbol"/>
          <w:sz w:val="24"/>
        </w:rPr>
      </w:pPr>
      <w:r>
        <w:rPr>
          <w:sz w:val="24"/>
        </w:rPr>
        <w:t>21 CFR 812.150(a)(4) &amp;</w:t>
      </w:r>
      <w:r>
        <w:rPr>
          <w:spacing w:val="-1"/>
          <w:sz w:val="24"/>
        </w:rPr>
        <w:t xml:space="preserve"> </w:t>
      </w:r>
      <w:r>
        <w:rPr>
          <w:sz w:val="24"/>
        </w:rPr>
        <w:t>(5)</w:t>
      </w:r>
    </w:p>
    <w:p w:rsidR="00D646E1" w:rsidRDefault="00D646E1">
      <w:pPr>
        <w:pStyle w:val="BodyText"/>
        <w:spacing w:before="8"/>
        <w:rPr>
          <w:sz w:val="23"/>
        </w:rPr>
      </w:pPr>
    </w:p>
    <w:p w:rsidR="00D646E1" w:rsidRDefault="00A07DA3">
      <w:pPr>
        <w:pStyle w:val="Heading1"/>
      </w:pPr>
      <w:r>
        <w:rPr>
          <w:u w:val="single"/>
        </w:rPr>
        <w:t>DOCUMENTATION (Documents &amp; Forms)</w:t>
      </w:r>
    </w:p>
    <w:p w:rsidR="00D646E1" w:rsidRDefault="00A07DA3">
      <w:pPr>
        <w:pStyle w:val="ListParagraph"/>
        <w:numPr>
          <w:ilvl w:val="0"/>
          <w:numId w:val="1"/>
        </w:numPr>
        <w:tabs>
          <w:tab w:val="left" w:pos="1020"/>
        </w:tabs>
        <w:spacing w:line="275" w:lineRule="exact"/>
        <w:rPr>
          <w:sz w:val="24"/>
        </w:rPr>
      </w:pPr>
      <w:r>
        <w:rPr>
          <w:sz w:val="24"/>
        </w:rPr>
        <w:t>IRB “Emergency Use Report”</w:t>
      </w:r>
    </w:p>
    <w:p w:rsidR="00D646E1" w:rsidRDefault="00A07DA3">
      <w:pPr>
        <w:pStyle w:val="ListParagraph"/>
        <w:numPr>
          <w:ilvl w:val="0"/>
          <w:numId w:val="1"/>
        </w:numPr>
        <w:tabs>
          <w:tab w:val="left" w:pos="1020"/>
        </w:tabs>
        <w:spacing w:line="275" w:lineRule="exact"/>
        <w:rPr>
          <w:sz w:val="24"/>
        </w:rPr>
      </w:pPr>
      <w:r>
        <w:rPr>
          <w:sz w:val="24"/>
        </w:rPr>
        <w:t>IRB “Emergen</w:t>
      </w:r>
      <w:r>
        <w:rPr>
          <w:sz w:val="24"/>
        </w:rPr>
        <w:t>cy Use Consent</w:t>
      </w:r>
      <w:r>
        <w:rPr>
          <w:spacing w:val="-1"/>
          <w:sz w:val="24"/>
        </w:rPr>
        <w:t xml:space="preserve"> </w:t>
      </w:r>
      <w:r>
        <w:rPr>
          <w:sz w:val="24"/>
        </w:rPr>
        <w:t>Form”</w:t>
      </w:r>
    </w:p>
    <w:p w:rsidR="00D646E1" w:rsidRDefault="00D646E1">
      <w:pPr>
        <w:pStyle w:val="BodyText"/>
      </w:pPr>
    </w:p>
    <w:p w:rsidR="00D646E1" w:rsidRDefault="00A07DA3">
      <w:pPr>
        <w:pStyle w:val="Heading1"/>
        <w:spacing w:before="1"/>
      </w:pPr>
      <w:r>
        <w:rPr>
          <w:u w:val="single"/>
        </w:rPr>
        <w:t>Other Related Policy/Procedures:</w:t>
      </w:r>
    </w:p>
    <w:p w:rsidR="00D646E1" w:rsidRDefault="00A07DA3">
      <w:pPr>
        <w:pStyle w:val="BodyText"/>
        <w:ind w:left="660"/>
      </w:pPr>
      <w:r>
        <w:t>1. Planned Emergency Research</w:t>
      </w:r>
    </w:p>
    <w:p w:rsidR="00D646E1" w:rsidRDefault="00D646E1">
      <w:pPr>
        <w:sectPr w:rsidR="00D646E1">
          <w:pgSz w:w="12240" w:h="15840"/>
          <w:pgMar w:top="1500" w:right="1220" w:bottom="1520" w:left="1140" w:header="0" w:footer="1223" w:gutter="0"/>
          <w:cols w:space="720"/>
        </w:sectPr>
      </w:pPr>
    </w:p>
    <w:p w:rsidR="00D646E1" w:rsidRDefault="00D646E1">
      <w:pPr>
        <w:pStyle w:val="BodyText"/>
        <w:spacing w:before="7"/>
        <w:rPr>
          <w:sz w:val="10"/>
        </w:rPr>
      </w:pPr>
    </w:p>
    <w:p w:rsidR="00D646E1" w:rsidRDefault="00A07DA3">
      <w:pPr>
        <w:pStyle w:val="Heading1"/>
        <w:spacing w:before="92"/>
        <w:ind w:left="4025" w:right="3944"/>
        <w:jc w:val="center"/>
      </w:pPr>
      <w:r>
        <w:t>REVISION HISTORY</w:t>
      </w:r>
    </w:p>
    <w:p w:rsidR="00D646E1" w:rsidRDefault="00D646E1">
      <w:pPr>
        <w:pStyle w:val="BodyText"/>
        <w:rPr>
          <w:b/>
          <w:sz w:val="20"/>
        </w:rPr>
      </w:pPr>
    </w:p>
    <w:p w:rsidR="00D646E1" w:rsidRDefault="00D646E1">
      <w:pPr>
        <w:pStyle w:val="BodyText"/>
        <w:spacing w:before="1"/>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3690"/>
        <w:gridCol w:w="1854"/>
        <w:gridCol w:w="1854"/>
      </w:tblGrid>
      <w:tr w:rsidR="00D646E1">
        <w:trPr>
          <w:trHeight w:val="275"/>
        </w:trPr>
        <w:tc>
          <w:tcPr>
            <w:tcW w:w="2250" w:type="dxa"/>
            <w:shd w:val="clear" w:color="auto" w:fill="D9D9D9"/>
          </w:tcPr>
          <w:p w:rsidR="00D646E1" w:rsidRDefault="00A07DA3">
            <w:pPr>
              <w:pStyle w:val="TableParagraph"/>
              <w:spacing w:line="256" w:lineRule="exact"/>
              <w:ind w:left="315"/>
              <w:rPr>
                <w:b/>
                <w:sz w:val="24"/>
              </w:rPr>
            </w:pPr>
            <w:r>
              <w:rPr>
                <w:b/>
                <w:sz w:val="24"/>
              </w:rPr>
              <w:t>Revision Number</w:t>
            </w:r>
          </w:p>
        </w:tc>
        <w:tc>
          <w:tcPr>
            <w:tcW w:w="3690" w:type="dxa"/>
            <w:shd w:val="clear" w:color="auto" w:fill="D9D9D9"/>
          </w:tcPr>
          <w:p w:rsidR="00D646E1" w:rsidRDefault="00A07DA3">
            <w:pPr>
              <w:pStyle w:val="TableParagraph"/>
              <w:spacing w:line="256" w:lineRule="exact"/>
              <w:ind w:left="740"/>
              <w:rPr>
                <w:b/>
                <w:sz w:val="24"/>
              </w:rPr>
            </w:pPr>
            <w:r>
              <w:rPr>
                <w:b/>
                <w:sz w:val="24"/>
              </w:rPr>
              <w:t>Description of Changes</w:t>
            </w:r>
          </w:p>
        </w:tc>
        <w:tc>
          <w:tcPr>
            <w:tcW w:w="1854" w:type="dxa"/>
            <w:shd w:val="clear" w:color="auto" w:fill="D9D9D9"/>
          </w:tcPr>
          <w:p w:rsidR="00D646E1" w:rsidRDefault="00A07DA3">
            <w:pPr>
              <w:pStyle w:val="TableParagraph"/>
              <w:spacing w:line="256" w:lineRule="exact"/>
              <w:ind w:left="445"/>
              <w:rPr>
                <w:b/>
                <w:sz w:val="24"/>
              </w:rPr>
            </w:pPr>
            <w:r>
              <w:rPr>
                <w:b/>
                <w:sz w:val="24"/>
              </w:rPr>
              <w:t>Approvals</w:t>
            </w:r>
          </w:p>
        </w:tc>
        <w:tc>
          <w:tcPr>
            <w:tcW w:w="1854" w:type="dxa"/>
            <w:shd w:val="clear" w:color="auto" w:fill="D9D9D9"/>
          </w:tcPr>
          <w:p w:rsidR="00D646E1" w:rsidRDefault="00A07DA3">
            <w:pPr>
              <w:pStyle w:val="TableParagraph"/>
              <w:spacing w:line="256" w:lineRule="exact"/>
              <w:ind w:left="693" w:right="684"/>
              <w:jc w:val="center"/>
              <w:rPr>
                <w:b/>
                <w:sz w:val="24"/>
              </w:rPr>
            </w:pPr>
            <w:r>
              <w:rPr>
                <w:b/>
                <w:sz w:val="24"/>
              </w:rPr>
              <w:t>Date</w:t>
            </w:r>
          </w:p>
        </w:tc>
      </w:tr>
      <w:tr w:rsidR="00D646E1">
        <w:trPr>
          <w:trHeight w:val="275"/>
        </w:trPr>
        <w:tc>
          <w:tcPr>
            <w:tcW w:w="2250" w:type="dxa"/>
          </w:tcPr>
          <w:p w:rsidR="00D646E1" w:rsidRDefault="00D646E1">
            <w:pPr>
              <w:pStyle w:val="TableParagraph"/>
              <w:ind w:left="0"/>
              <w:rPr>
                <w:rFonts w:ascii="Times New Roman"/>
                <w:sz w:val="20"/>
              </w:rPr>
            </w:pPr>
          </w:p>
        </w:tc>
        <w:tc>
          <w:tcPr>
            <w:tcW w:w="3690" w:type="dxa"/>
          </w:tcPr>
          <w:p w:rsidR="00D646E1" w:rsidRDefault="00D646E1">
            <w:pPr>
              <w:pStyle w:val="TableParagraph"/>
              <w:ind w:left="0"/>
              <w:rPr>
                <w:rFonts w:ascii="Times New Roman"/>
                <w:sz w:val="20"/>
              </w:rPr>
            </w:pPr>
          </w:p>
        </w:tc>
        <w:tc>
          <w:tcPr>
            <w:tcW w:w="1854" w:type="dxa"/>
          </w:tcPr>
          <w:p w:rsidR="00D646E1" w:rsidRDefault="00D646E1">
            <w:pPr>
              <w:pStyle w:val="TableParagraph"/>
              <w:ind w:left="0"/>
              <w:rPr>
                <w:rFonts w:ascii="Times New Roman"/>
                <w:sz w:val="20"/>
              </w:rPr>
            </w:pPr>
          </w:p>
        </w:tc>
        <w:tc>
          <w:tcPr>
            <w:tcW w:w="1854" w:type="dxa"/>
          </w:tcPr>
          <w:p w:rsidR="00D646E1" w:rsidRDefault="00D646E1">
            <w:pPr>
              <w:pStyle w:val="TableParagraph"/>
              <w:ind w:left="0"/>
              <w:rPr>
                <w:rFonts w:ascii="Times New Roman"/>
                <w:sz w:val="20"/>
              </w:rPr>
            </w:pPr>
          </w:p>
        </w:tc>
      </w:tr>
      <w:tr w:rsidR="00D646E1">
        <w:trPr>
          <w:trHeight w:val="274"/>
        </w:trPr>
        <w:tc>
          <w:tcPr>
            <w:tcW w:w="2250" w:type="dxa"/>
          </w:tcPr>
          <w:p w:rsidR="00D646E1" w:rsidRDefault="00D646E1">
            <w:pPr>
              <w:pStyle w:val="TableParagraph"/>
              <w:ind w:left="0"/>
              <w:rPr>
                <w:rFonts w:ascii="Times New Roman"/>
                <w:sz w:val="20"/>
              </w:rPr>
            </w:pPr>
          </w:p>
        </w:tc>
        <w:tc>
          <w:tcPr>
            <w:tcW w:w="3690" w:type="dxa"/>
          </w:tcPr>
          <w:p w:rsidR="00D646E1" w:rsidRDefault="00D646E1">
            <w:pPr>
              <w:pStyle w:val="TableParagraph"/>
              <w:ind w:left="0"/>
              <w:rPr>
                <w:rFonts w:ascii="Times New Roman"/>
                <w:sz w:val="20"/>
              </w:rPr>
            </w:pPr>
          </w:p>
        </w:tc>
        <w:tc>
          <w:tcPr>
            <w:tcW w:w="1854" w:type="dxa"/>
          </w:tcPr>
          <w:p w:rsidR="00D646E1" w:rsidRDefault="00D646E1">
            <w:pPr>
              <w:pStyle w:val="TableParagraph"/>
              <w:ind w:left="0"/>
              <w:rPr>
                <w:rFonts w:ascii="Times New Roman"/>
                <w:sz w:val="20"/>
              </w:rPr>
            </w:pPr>
          </w:p>
        </w:tc>
        <w:tc>
          <w:tcPr>
            <w:tcW w:w="1854" w:type="dxa"/>
          </w:tcPr>
          <w:p w:rsidR="00D646E1" w:rsidRDefault="00D646E1">
            <w:pPr>
              <w:pStyle w:val="TableParagraph"/>
              <w:ind w:left="0"/>
              <w:rPr>
                <w:rFonts w:ascii="Times New Roman"/>
                <w:sz w:val="20"/>
              </w:rPr>
            </w:pPr>
          </w:p>
        </w:tc>
      </w:tr>
      <w:tr w:rsidR="00D646E1">
        <w:trPr>
          <w:trHeight w:val="275"/>
        </w:trPr>
        <w:tc>
          <w:tcPr>
            <w:tcW w:w="2250" w:type="dxa"/>
          </w:tcPr>
          <w:p w:rsidR="00D646E1" w:rsidRDefault="00D646E1">
            <w:pPr>
              <w:pStyle w:val="TableParagraph"/>
              <w:ind w:left="0"/>
              <w:rPr>
                <w:rFonts w:ascii="Times New Roman"/>
                <w:sz w:val="20"/>
              </w:rPr>
            </w:pPr>
          </w:p>
        </w:tc>
        <w:tc>
          <w:tcPr>
            <w:tcW w:w="3690" w:type="dxa"/>
          </w:tcPr>
          <w:p w:rsidR="00D646E1" w:rsidRDefault="00D646E1">
            <w:pPr>
              <w:pStyle w:val="TableParagraph"/>
              <w:ind w:left="0"/>
              <w:rPr>
                <w:rFonts w:ascii="Times New Roman"/>
                <w:sz w:val="20"/>
              </w:rPr>
            </w:pPr>
          </w:p>
        </w:tc>
        <w:tc>
          <w:tcPr>
            <w:tcW w:w="1854" w:type="dxa"/>
          </w:tcPr>
          <w:p w:rsidR="00D646E1" w:rsidRDefault="00D646E1">
            <w:pPr>
              <w:pStyle w:val="TableParagraph"/>
              <w:ind w:left="0"/>
              <w:rPr>
                <w:rFonts w:ascii="Times New Roman"/>
                <w:sz w:val="20"/>
              </w:rPr>
            </w:pPr>
          </w:p>
        </w:tc>
        <w:tc>
          <w:tcPr>
            <w:tcW w:w="1854" w:type="dxa"/>
          </w:tcPr>
          <w:p w:rsidR="00D646E1" w:rsidRDefault="00D646E1">
            <w:pPr>
              <w:pStyle w:val="TableParagraph"/>
              <w:ind w:left="0"/>
              <w:rPr>
                <w:rFonts w:ascii="Times New Roman"/>
                <w:sz w:val="20"/>
              </w:rPr>
            </w:pPr>
          </w:p>
        </w:tc>
      </w:tr>
      <w:tr w:rsidR="00D646E1">
        <w:trPr>
          <w:trHeight w:val="275"/>
        </w:trPr>
        <w:tc>
          <w:tcPr>
            <w:tcW w:w="2250" w:type="dxa"/>
          </w:tcPr>
          <w:p w:rsidR="00D646E1" w:rsidRDefault="00D646E1">
            <w:pPr>
              <w:pStyle w:val="TableParagraph"/>
              <w:ind w:left="0"/>
              <w:rPr>
                <w:rFonts w:ascii="Times New Roman"/>
                <w:sz w:val="20"/>
              </w:rPr>
            </w:pPr>
          </w:p>
        </w:tc>
        <w:tc>
          <w:tcPr>
            <w:tcW w:w="3690" w:type="dxa"/>
          </w:tcPr>
          <w:p w:rsidR="00D646E1" w:rsidRDefault="00D646E1">
            <w:pPr>
              <w:pStyle w:val="TableParagraph"/>
              <w:ind w:left="0"/>
              <w:rPr>
                <w:rFonts w:ascii="Times New Roman"/>
                <w:sz w:val="20"/>
              </w:rPr>
            </w:pPr>
          </w:p>
        </w:tc>
        <w:tc>
          <w:tcPr>
            <w:tcW w:w="1854" w:type="dxa"/>
          </w:tcPr>
          <w:p w:rsidR="00D646E1" w:rsidRDefault="00D646E1">
            <w:pPr>
              <w:pStyle w:val="TableParagraph"/>
              <w:ind w:left="0"/>
              <w:rPr>
                <w:rFonts w:ascii="Times New Roman"/>
                <w:sz w:val="20"/>
              </w:rPr>
            </w:pPr>
          </w:p>
        </w:tc>
        <w:tc>
          <w:tcPr>
            <w:tcW w:w="1854" w:type="dxa"/>
          </w:tcPr>
          <w:p w:rsidR="00D646E1" w:rsidRDefault="00D646E1">
            <w:pPr>
              <w:pStyle w:val="TableParagraph"/>
              <w:ind w:left="0"/>
              <w:rPr>
                <w:rFonts w:ascii="Times New Roman"/>
                <w:sz w:val="20"/>
              </w:rPr>
            </w:pPr>
          </w:p>
        </w:tc>
      </w:tr>
      <w:tr w:rsidR="00D646E1">
        <w:trPr>
          <w:trHeight w:val="275"/>
        </w:trPr>
        <w:tc>
          <w:tcPr>
            <w:tcW w:w="2250" w:type="dxa"/>
          </w:tcPr>
          <w:p w:rsidR="00D646E1" w:rsidRDefault="00D646E1">
            <w:pPr>
              <w:pStyle w:val="TableParagraph"/>
              <w:ind w:left="0"/>
              <w:rPr>
                <w:rFonts w:ascii="Times New Roman"/>
                <w:sz w:val="20"/>
              </w:rPr>
            </w:pPr>
          </w:p>
        </w:tc>
        <w:tc>
          <w:tcPr>
            <w:tcW w:w="3690" w:type="dxa"/>
          </w:tcPr>
          <w:p w:rsidR="00D646E1" w:rsidRDefault="00D646E1">
            <w:pPr>
              <w:pStyle w:val="TableParagraph"/>
              <w:ind w:left="0"/>
              <w:rPr>
                <w:rFonts w:ascii="Times New Roman"/>
                <w:sz w:val="20"/>
              </w:rPr>
            </w:pPr>
          </w:p>
        </w:tc>
        <w:tc>
          <w:tcPr>
            <w:tcW w:w="1854" w:type="dxa"/>
          </w:tcPr>
          <w:p w:rsidR="00D646E1" w:rsidRDefault="00D646E1">
            <w:pPr>
              <w:pStyle w:val="TableParagraph"/>
              <w:ind w:left="0"/>
              <w:rPr>
                <w:rFonts w:ascii="Times New Roman"/>
                <w:sz w:val="20"/>
              </w:rPr>
            </w:pPr>
          </w:p>
        </w:tc>
        <w:tc>
          <w:tcPr>
            <w:tcW w:w="1854" w:type="dxa"/>
          </w:tcPr>
          <w:p w:rsidR="00D646E1" w:rsidRDefault="00D646E1">
            <w:pPr>
              <w:pStyle w:val="TableParagraph"/>
              <w:ind w:left="0"/>
              <w:rPr>
                <w:rFonts w:ascii="Times New Roman"/>
                <w:sz w:val="20"/>
              </w:rPr>
            </w:pPr>
          </w:p>
        </w:tc>
      </w:tr>
    </w:tbl>
    <w:p w:rsidR="00000000" w:rsidRDefault="00A07DA3"/>
    <w:sectPr w:rsidR="00000000">
      <w:pgSz w:w="12240" w:h="15840"/>
      <w:pgMar w:top="1500" w:right="1220" w:bottom="1520" w:left="1140" w:header="0"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7DA3">
      <w:r>
        <w:separator/>
      </w:r>
    </w:p>
  </w:endnote>
  <w:endnote w:type="continuationSeparator" w:id="0">
    <w:p w:rsidR="00000000" w:rsidRDefault="00A0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E1" w:rsidRDefault="00A07DA3">
    <w:pPr>
      <w:pStyle w:val="BodyText"/>
      <w:spacing w:line="14" w:lineRule="auto"/>
      <w:rPr>
        <w:sz w:val="20"/>
      </w:rPr>
    </w:pPr>
    <w:r>
      <w:rPr>
        <w:noProof/>
      </w:rPr>
      <mc:AlternateContent>
        <mc:Choice Requires="wpg">
          <w:drawing>
            <wp:anchor distT="0" distB="0" distL="114300" distR="114300" simplePos="0" relativeHeight="503303936" behindDoc="1" locked="0" layoutInCell="1" allowOverlap="1">
              <wp:simplePos x="0" y="0"/>
              <wp:positionH relativeFrom="page">
                <wp:posOffset>895350</wp:posOffset>
              </wp:positionH>
              <wp:positionV relativeFrom="page">
                <wp:posOffset>9030970</wp:posOffset>
              </wp:positionV>
              <wp:extent cx="5981700" cy="56515"/>
              <wp:effectExtent l="19050" t="1270" r="190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222"/>
                        <a:chExt cx="9420" cy="89"/>
                      </a:xfrm>
                    </wpg:grpSpPr>
                    <wps:wsp>
                      <wps:cNvPr id="5" name="Line 6"/>
                      <wps:cNvCnPr>
                        <a:cxnSpLocks noChangeShapeType="1"/>
                      </wps:cNvCnPr>
                      <wps:spPr bwMode="auto">
                        <a:xfrm>
                          <a:off x="1410" y="14252"/>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0" y="14304"/>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4FB720" id="Group 4" o:spid="_x0000_s1026" style="position:absolute;margin-left:70.5pt;margin-top:711.1pt;width:471pt;height:4.45pt;z-index:-12544;mso-position-horizontal-relative:page;mso-position-vertical-relative:page" coordorigin="1410,14222"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">
              <v:line id="Line 6" o:spid="_x0000_s1027" style="position:absolute;visibility:visible;mso-wrap-style:square" from="1410,14252" to="1083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5" o:spid="_x0000_s1028" style="position:absolute;visibility:visible;mso-wrap-style:square" from="1410,14304" to="1083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303960" behindDoc="1" locked="0" layoutInCell="1" allowOverlap="1">
              <wp:simplePos x="0" y="0"/>
              <wp:positionH relativeFrom="page">
                <wp:posOffset>901700</wp:posOffset>
              </wp:positionH>
              <wp:positionV relativeFrom="page">
                <wp:posOffset>9091295</wp:posOffset>
              </wp:positionV>
              <wp:extent cx="5982335" cy="34798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6E1" w:rsidRDefault="00A07DA3">
                          <w:pPr>
                            <w:spacing w:before="14"/>
                            <w:ind w:left="20"/>
                            <w:rPr>
                              <w:rFonts w:ascii="Arial"/>
                              <w:i/>
                              <w:sz w:val="20"/>
                            </w:rPr>
                          </w:pPr>
                          <w:r>
                            <w:rPr>
                              <w:rFonts w:ascii="Arial"/>
                              <w:i/>
                              <w:sz w:val="20"/>
                            </w:rPr>
                            <w:t>Printed Copies of this policy are uncontrolled documents. Refer to the PPHS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5.85pt;width:471.05pt;height:27.4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5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" filled="f" stroked="f">
              <v:textbox inset="0,0,0,0">
                <w:txbxContent>
                  <w:p w:rsidR="00D646E1" w:rsidRDefault="00A07DA3">
                    <w:pPr>
                      <w:spacing w:before="14"/>
                      <w:ind w:left="20"/>
                      <w:rPr>
                        <w:rFonts w:ascii="Arial"/>
                        <w:i/>
                        <w:sz w:val="20"/>
                      </w:rPr>
                    </w:pPr>
                    <w:r>
                      <w:rPr>
                        <w:rFonts w:ascii="Arial"/>
                        <w:i/>
                        <w:sz w:val="20"/>
                      </w:rPr>
                      <w:t>Printed Copies of this policy are uncontrolled documents. Refer to the PPHS Policy Management System</w:t>
                    </w:r>
                  </w:p>
                </w:txbxContent>
              </v:textbox>
              <w10:wrap anchorx="page" anchory="page"/>
            </v:shape>
          </w:pict>
        </mc:Fallback>
      </mc:AlternateContent>
    </w:r>
    <w:r>
      <w:rPr>
        <w:noProof/>
      </w:rPr>
      <mc:AlternateContent>
        <mc:Choice Requires="wps">
          <w:drawing>
            <wp:anchor distT="0" distB="0" distL="114300" distR="114300" simplePos="0" relativeHeight="503303984" behindDoc="1" locked="0" layoutInCell="1" allowOverlap="1">
              <wp:simplePos x="0" y="0"/>
              <wp:positionH relativeFrom="page">
                <wp:posOffset>6417310</wp:posOffset>
              </wp:positionH>
              <wp:positionV relativeFrom="page">
                <wp:posOffset>9234805</wp:posOffset>
              </wp:positionV>
              <wp:extent cx="467360" cy="20447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6E1" w:rsidRDefault="00A07DA3">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5.3pt;margin-top:727.15pt;width:36.8pt;height:16.1pt;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1i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" filled="f" stroked="f">
              <v:textbox inset="0,0,0,0">
                <w:txbxContent>
                  <w:p w:rsidR="00D646E1" w:rsidRDefault="00A07DA3">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4008" behindDoc="1" locked="0" layoutInCell="1" allowOverlap="1">
              <wp:simplePos x="0" y="0"/>
              <wp:positionH relativeFrom="page">
                <wp:posOffset>901700</wp:posOffset>
              </wp:positionH>
              <wp:positionV relativeFrom="page">
                <wp:posOffset>9264650</wp:posOffset>
              </wp:positionV>
              <wp:extent cx="1204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6E1" w:rsidRDefault="00A07DA3">
                          <w:pPr>
                            <w:spacing w:before="14"/>
                            <w:ind w:left="20"/>
                            <w:rPr>
                              <w:rFonts w:ascii="Arial"/>
                              <w:sz w:val="20"/>
                            </w:rPr>
                          </w:pPr>
                          <w:r>
                            <w:rPr>
                              <w:rFonts w:ascii="Arial"/>
                              <w:i/>
                              <w:sz w:val="20"/>
                            </w:rPr>
                            <w:t>for the latest version</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9.5pt;width:94.85pt;height:13.2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9AsAIAALA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" filled="f" stroked="f">
              <v:textbox inset="0,0,0,0">
                <w:txbxContent>
                  <w:p w:rsidR="00D646E1" w:rsidRDefault="00A07DA3">
                    <w:pPr>
                      <w:spacing w:before="14"/>
                      <w:ind w:left="20"/>
                      <w:rPr>
                        <w:rFonts w:ascii="Arial"/>
                        <w:sz w:val="20"/>
                      </w:rPr>
                    </w:pPr>
                    <w:r>
                      <w:rPr>
                        <w:rFonts w:ascii="Arial"/>
                        <w:i/>
                        <w:sz w:val="20"/>
                      </w:rPr>
                      <w:t>for the latest version</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07DA3">
      <w:r>
        <w:separator/>
      </w:r>
    </w:p>
  </w:footnote>
  <w:footnote w:type="continuationSeparator" w:id="0">
    <w:p w:rsidR="00000000" w:rsidRDefault="00A07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1BB"/>
    <w:multiLevelType w:val="hybridMultilevel"/>
    <w:tmpl w:val="550652D2"/>
    <w:lvl w:ilvl="0" w:tplc="BB1CC5AE">
      <w:start w:val="1"/>
      <w:numFmt w:val="decimal"/>
      <w:lvlText w:val="%1."/>
      <w:lvlJc w:val="left"/>
      <w:pPr>
        <w:ind w:left="2100" w:hanging="180"/>
        <w:jc w:val="left"/>
      </w:pPr>
      <w:rPr>
        <w:rFonts w:ascii="Liberation Sans Narrow" w:eastAsia="Liberation Sans Narrow" w:hAnsi="Liberation Sans Narrow" w:cs="Liberation Sans Narrow" w:hint="default"/>
        <w:spacing w:val="-1"/>
        <w:w w:val="99"/>
        <w:sz w:val="22"/>
        <w:szCs w:val="22"/>
      </w:rPr>
    </w:lvl>
    <w:lvl w:ilvl="1" w:tplc="2758E68A">
      <w:numFmt w:val="bullet"/>
      <w:lvlText w:val="•"/>
      <w:lvlJc w:val="left"/>
      <w:pPr>
        <w:ind w:left="2878" w:hanging="180"/>
      </w:pPr>
      <w:rPr>
        <w:rFonts w:hint="default"/>
      </w:rPr>
    </w:lvl>
    <w:lvl w:ilvl="2" w:tplc="BF0CC50E">
      <w:numFmt w:val="bullet"/>
      <w:lvlText w:val="•"/>
      <w:lvlJc w:val="left"/>
      <w:pPr>
        <w:ind w:left="3656" w:hanging="180"/>
      </w:pPr>
      <w:rPr>
        <w:rFonts w:hint="default"/>
      </w:rPr>
    </w:lvl>
    <w:lvl w:ilvl="3" w:tplc="2182CA4E">
      <w:numFmt w:val="bullet"/>
      <w:lvlText w:val="•"/>
      <w:lvlJc w:val="left"/>
      <w:pPr>
        <w:ind w:left="4434" w:hanging="180"/>
      </w:pPr>
      <w:rPr>
        <w:rFonts w:hint="default"/>
      </w:rPr>
    </w:lvl>
    <w:lvl w:ilvl="4" w:tplc="99E0BBB8">
      <w:numFmt w:val="bullet"/>
      <w:lvlText w:val="•"/>
      <w:lvlJc w:val="left"/>
      <w:pPr>
        <w:ind w:left="5212" w:hanging="180"/>
      </w:pPr>
      <w:rPr>
        <w:rFonts w:hint="default"/>
      </w:rPr>
    </w:lvl>
    <w:lvl w:ilvl="5" w:tplc="306605BC">
      <w:numFmt w:val="bullet"/>
      <w:lvlText w:val="•"/>
      <w:lvlJc w:val="left"/>
      <w:pPr>
        <w:ind w:left="5990" w:hanging="180"/>
      </w:pPr>
      <w:rPr>
        <w:rFonts w:hint="default"/>
      </w:rPr>
    </w:lvl>
    <w:lvl w:ilvl="6" w:tplc="4D08949E">
      <w:numFmt w:val="bullet"/>
      <w:lvlText w:val="•"/>
      <w:lvlJc w:val="left"/>
      <w:pPr>
        <w:ind w:left="6768" w:hanging="180"/>
      </w:pPr>
      <w:rPr>
        <w:rFonts w:hint="default"/>
      </w:rPr>
    </w:lvl>
    <w:lvl w:ilvl="7" w:tplc="E95E7574">
      <w:numFmt w:val="bullet"/>
      <w:lvlText w:val="•"/>
      <w:lvlJc w:val="left"/>
      <w:pPr>
        <w:ind w:left="7546" w:hanging="180"/>
      </w:pPr>
      <w:rPr>
        <w:rFonts w:hint="default"/>
      </w:rPr>
    </w:lvl>
    <w:lvl w:ilvl="8" w:tplc="41500D0E">
      <w:numFmt w:val="bullet"/>
      <w:lvlText w:val="•"/>
      <w:lvlJc w:val="left"/>
      <w:pPr>
        <w:ind w:left="8324" w:hanging="180"/>
      </w:pPr>
      <w:rPr>
        <w:rFonts w:hint="default"/>
      </w:rPr>
    </w:lvl>
  </w:abstractNum>
  <w:abstractNum w:abstractNumId="1" w15:restartNumberingAfterBreak="0">
    <w:nsid w:val="086F2A8E"/>
    <w:multiLevelType w:val="hybridMultilevel"/>
    <w:tmpl w:val="99BE9170"/>
    <w:lvl w:ilvl="0" w:tplc="01DA7FAA">
      <w:start w:val="1"/>
      <w:numFmt w:val="decimal"/>
      <w:lvlText w:val="%1."/>
      <w:lvlJc w:val="left"/>
      <w:pPr>
        <w:ind w:left="660" w:hanging="360"/>
        <w:jc w:val="left"/>
      </w:pPr>
      <w:rPr>
        <w:rFonts w:ascii="Liberation Sans Narrow" w:eastAsia="Liberation Sans Narrow" w:hAnsi="Liberation Sans Narrow" w:cs="Liberation Sans Narrow" w:hint="default"/>
        <w:b/>
        <w:bCs/>
        <w:spacing w:val="-1"/>
        <w:w w:val="99"/>
        <w:sz w:val="24"/>
        <w:szCs w:val="24"/>
      </w:rPr>
    </w:lvl>
    <w:lvl w:ilvl="1" w:tplc="38BCD0E4">
      <w:numFmt w:val="bullet"/>
      <w:lvlText w:val=""/>
      <w:lvlJc w:val="left"/>
      <w:pPr>
        <w:ind w:left="1380" w:hanging="360"/>
      </w:pPr>
      <w:rPr>
        <w:rFonts w:ascii="Symbol" w:eastAsia="Symbol" w:hAnsi="Symbol" w:cs="Symbol" w:hint="default"/>
        <w:w w:val="100"/>
        <w:sz w:val="24"/>
        <w:szCs w:val="24"/>
      </w:rPr>
    </w:lvl>
    <w:lvl w:ilvl="2" w:tplc="71400748">
      <w:numFmt w:val="bullet"/>
      <w:lvlText w:val="•"/>
      <w:lvlJc w:val="left"/>
      <w:pPr>
        <w:ind w:left="2324" w:hanging="360"/>
      </w:pPr>
      <w:rPr>
        <w:rFonts w:hint="default"/>
      </w:rPr>
    </w:lvl>
    <w:lvl w:ilvl="3" w:tplc="C51AEEB6">
      <w:numFmt w:val="bullet"/>
      <w:lvlText w:val="•"/>
      <w:lvlJc w:val="left"/>
      <w:pPr>
        <w:ind w:left="3268" w:hanging="360"/>
      </w:pPr>
      <w:rPr>
        <w:rFonts w:hint="default"/>
      </w:rPr>
    </w:lvl>
    <w:lvl w:ilvl="4" w:tplc="5096E9AE">
      <w:numFmt w:val="bullet"/>
      <w:lvlText w:val="•"/>
      <w:lvlJc w:val="left"/>
      <w:pPr>
        <w:ind w:left="4213" w:hanging="360"/>
      </w:pPr>
      <w:rPr>
        <w:rFonts w:hint="default"/>
      </w:rPr>
    </w:lvl>
    <w:lvl w:ilvl="5" w:tplc="62AA9580">
      <w:numFmt w:val="bullet"/>
      <w:lvlText w:val="•"/>
      <w:lvlJc w:val="left"/>
      <w:pPr>
        <w:ind w:left="5157" w:hanging="360"/>
      </w:pPr>
      <w:rPr>
        <w:rFonts w:hint="default"/>
      </w:rPr>
    </w:lvl>
    <w:lvl w:ilvl="6" w:tplc="E8721DCE">
      <w:numFmt w:val="bullet"/>
      <w:lvlText w:val="•"/>
      <w:lvlJc w:val="left"/>
      <w:pPr>
        <w:ind w:left="6102" w:hanging="360"/>
      </w:pPr>
      <w:rPr>
        <w:rFonts w:hint="default"/>
      </w:rPr>
    </w:lvl>
    <w:lvl w:ilvl="7" w:tplc="B79200DE">
      <w:numFmt w:val="bullet"/>
      <w:lvlText w:val="•"/>
      <w:lvlJc w:val="left"/>
      <w:pPr>
        <w:ind w:left="7046" w:hanging="360"/>
      </w:pPr>
      <w:rPr>
        <w:rFonts w:hint="default"/>
      </w:rPr>
    </w:lvl>
    <w:lvl w:ilvl="8" w:tplc="BE5C4D46">
      <w:numFmt w:val="bullet"/>
      <w:lvlText w:val="•"/>
      <w:lvlJc w:val="left"/>
      <w:pPr>
        <w:ind w:left="7991" w:hanging="360"/>
      </w:pPr>
      <w:rPr>
        <w:rFonts w:hint="default"/>
      </w:rPr>
    </w:lvl>
  </w:abstractNum>
  <w:abstractNum w:abstractNumId="2" w15:restartNumberingAfterBreak="0">
    <w:nsid w:val="1588498D"/>
    <w:multiLevelType w:val="hybridMultilevel"/>
    <w:tmpl w:val="C902D3F8"/>
    <w:lvl w:ilvl="0" w:tplc="8F3A13E4">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7A7A35DE">
      <w:numFmt w:val="bullet"/>
      <w:lvlText w:val="•"/>
      <w:lvlJc w:val="left"/>
      <w:pPr>
        <w:ind w:left="1582" w:hanging="360"/>
      </w:pPr>
      <w:rPr>
        <w:rFonts w:hint="default"/>
      </w:rPr>
    </w:lvl>
    <w:lvl w:ilvl="2" w:tplc="D0282C8C">
      <w:numFmt w:val="bullet"/>
      <w:lvlText w:val="•"/>
      <w:lvlJc w:val="left"/>
      <w:pPr>
        <w:ind w:left="2504" w:hanging="360"/>
      </w:pPr>
      <w:rPr>
        <w:rFonts w:hint="default"/>
      </w:rPr>
    </w:lvl>
    <w:lvl w:ilvl="3" w:tplc="6E342B46">
      <w:numFmt w:val="bullet"/>
      <w:lvlText w:val="•"/>
      <w:lvlJc w:val="left"/>
      <w:pPr>
        <w:ind w:left="3426" w:hanging="360"/>
      </w:pPr>
      <w:rPr>
        <w:rFonts w:hint="default"/>
      </w:rPr>
    </w:lvl>
    <w:lvl w:ilvl="4" w:tplc="679E76FE">
      <w:numFmt w:val="bullet"/>
      <w:lvlText w:val="•"/>
      <w:lvlJc w:val="left"/>
      <w:pPr>
        <w:ind w:left="4348" w:hanging="360"/>
      </w:pPr>
      <w:rPr>
        <w:rFonts w:hint="default"/>
      </w:rPr>
    </w:lvl>
    <w:lvl w:ilvl="5" w:tplc="539881AC">
      <w:numFmt w:val="bullet"/>
      <w:lvlText w:val="•"/>
      <w:lvlJc w:val="left"/>
      <w:pPr>
        <w:ind w:left="5270" w:hanging="360"/>
      </w:pPr>
      <w:rPr>
        <w:rFonts w:hint="default"/>
      </w:rPr>
    </w:lvl>
    <w:lvl w:ilvl="6" w:tplc="10FCFF3C">
      <w:numFmt w:val="bullet"/>
      <w:lvlText w:val="•"/>
      <w:lvlJc w:val="left"/>
      <w:pPr>
        <w:ind w:left="6192" w:hanging="360"/>
      </w:pPr>
      <w:rPr>
        <w:rFonts w:hint="default"/>
      </w:rPr>
    </w:lvl>
    <w:lvl w:ilvl="7" w:tplc="36C22822">
      <w:numFmt w:val="bullet"/>
      <w:lvlText w:val="•"/>
      <w:lvlJc w:val="left"/>
      <w:pPr>
        <w:ind w:left="7114" w:hanging="360"/>
      </w:pPr>
      <w:rPr>
        <w:rFonts w:hint="default"/>
      </w:rPr>
    </w:lvl>
    <w:lvl w:ilvl="8" w:tplc="13EA736C">
      <w:numFmt w:val="bullet"/>
      <w:lvlText w:val="•"/>
      <w:lvlJc w:val="left"/>
      <w:pPr>
        <w:ind w:left="8036" w:hanging="360"/>
      </w:pPr>
      <w:rPr>
        <w:rFonts w:hint="default"/>
      </w:rPr>
    </w:lvl>
  </w:abstractNum>
  <w:abstractNum w:abstractNumId="3" w15:restartNumberingAfterBreak="0">
    <w:nsid w:val="193C3878"/>
    <w:multiLevelType w:val="hybridMultilevel"/>
    <w:tmpl w:val="3E42E8F8"/>
    <w:lvl w:ilvl="0" w:tplc="F84C26AC">
      <w:numFmt w:val="bullet"/>
      <w:lvlText w:val=""/>
      <w:lvlJc w:val="left"/>
      <w:pPr>
        <w:ind w:left="827" w:hanging="360"/>
      </w:pPr>
      <w:rPr>
        <w:rFonts w:ascii="Symbol" w:eastAsia="Symbol" w:hAnsi="Symbol" w:cs="Symbol" w:hint="default"/>
        <w:w w:val="100"/>
        <w:sz w:val="24"/>
        <w:szCs w:val="24"/>
      </w:rPr>
    </w:lvl>
    <w:lvl w:ilvl="1" w:tplc="DBFAA32E">
      <w:numFmt w:val="bullet"/>
      <w:lvlText w:val="•"/>
      <w:lvlJc w:val="left"/>
      <w:pPr>
        <w:ind w:left="1215" w:hanging="360"/>
      </w:pPr>
      <w:rPr>
        <w:rFonts w:hint="default"/>
      </w:rPr>
    </w:lvl>
    <w:lvl w:ilvl="2" w:tplc="8962F80A">
      <w:numFmt w:val="bullet"/>
      <w:lvlText w:val="•"/>
      <w:lvlJc w:val="left"/>
      <w:pPr>
        <w:ind w:left="1611" w:hanging="360"/>
      </w:pPr>
      <w:rPr>
        <w:rFonts w:hint="default"/>
      </w:rPr>
    </w:lvl>
    <w:lvl w:ilvl="3" w:tplc="5D12CF3C">
      <w:numFmt w:val="bullet"/>
      <w:lvlText w:val="•"/>
      <w:lvlJc w:val="left"/>
      <w:pPr>
        <w:ind w:left="2007" w:hanging="360"/>
      </w:pPr>
      <w:rPr>
        <w:rFonts w:hint="default"/>
      </w:rPr>
    </w:lvl>
    <w:lvl w:ilvl="4" w:tplc="A8F8CC66">
      <w:numFmt w:val="bullet"/>
      <w:lvlText w:val="•"/>
      <w:lvlJc w:val="left"/>
      <w:pPr>
        <w:ind w:left="2403" w:hanging="360"/>
      </w:pPr>
      <w:rPr>
        <w:rFonts w:hint="default"/>
      </w:rPr>
    </w:lvl>
    <w:lvl w:ilvl="5" w:tplc="0D90A3E2">
      <w:numFmt w:val="bullet"/>
      <w:lvlText w:val="•"/>
      <w:lvlJc w:val="left"/>
      <w:pPr>
        <w:ind w:left="2799" w:hanging="360"/>
      </w:pPr>
      <w:rPr>
        <w:rFonts w:hint="default"/>
      </w:rPr>
    </w:lvl>
    <w:lvl w:ilvl="6" w:tplc="9A5EA576">
      <w:numFmt w:val="bullet"/>
      <w:lvlText w:val="•"/>
      <w:lvlJc w:val="left"/>
      <w:pPr>
        <w:ind w:left="3194" w:hanging="360"/>
      </w:pPr>
      <w:rPr>
        <w:rFonts w:hint="default"/>
      </w:rPr>
    </w:lvl>
    <w:lvl w:ilvl="7" w:tplc="2E9C9914">
      <w:numFmt w:val="bullet"/>
      <w:lvlText w:val="•"/>
      <w:lvlJc w:val="left"/>
      <w:pPr>
        <w:ind w:left="3590" w:hanging="360"/>
      </w:pPr>
      <w:rPr>
        <w:rFonts w:hint="default"/>
      </w:rPr>
    </w:lvl>
    <w:lvl w:ilvl="8" w:tplc="0DC22BD0">
      <w:numFmt w:val="bullet"/>
      <w:lvlText w:val="•"/>
      <w:lvlJc w:val="left"/>
      <w:pPr>
        <w:ind w:left="3986" w:hanging="360"/>
      </w:pPr>
      <w:rPr>
        <w:rFonts w:hint="default"/>
      </w:rPr>
    </w:lvl>
  </w:abstractNum>
  <w:abstractNum w:abstractNumId="4" w15:restartNumberingAfterBreak="0">
    <w:nsid w:val="1B4D1F98"/>
    <w:multiLevelType w:val="hybridMultilevel"/>
    <w:tmpl w:val="A7BC6E68"/>
    <w:lvl w:ilvl="0" w:tplc="1AAEC93A">
      <w:start w:val="2"/>
      <w:numFmt w:val="decimal"/>
      <w:lvlText w:val="%1."/>
      <w:lvlJc w:val="left"/>
      <w:pPr>
        <w:ind w:left="660" w:hanging="360"/>
        <w:jc w:val="left"/>
      </w:pPr>
      <w:rPr>
        <w:rFonts w:hint="default"/>
        <w:spacing w:val="-1"/>
        <w:w w:val="99"/>
      </w:rPr>
    </w:lvl>
    <w:lvl w:ilvl="1" w:tplc="602AAE84">
      <w:numFmt w:val="bullet"/>
      <w:lvlText w:val=""/>
      <w:lvlJc w:val="left"/>
      <w:pPr>
        <w:ind w:left="1020" w:hanging="360"/>
      </w:pPr>
      <w:rPr>
        <w:rFonts w:hint="default"/>
        <w:w w:val="99"/>
      </w:rPr>
    </w:lvl>
    <w:lvl w:ilvl="2" w:tplc="B29A6DBE">
      <w:numFmt w:val="bullet"/>
      <w:lvlText w:val="o"/>
      <w:lvlJc w:val="left"/>
      <w:pPr>
        <w:ind w:left="2100" w:hanging="360"/>
      </w:pPr>
      <w:rPr>
        <w:rFonts w:ascii="Courier New" w:eastAsia="Courier New" w:hAnsi="Courier New" w:cs="Courier New" w:hint="default"/>
        <w:w w:val="99"/>
        <w:sz w:val="24"/>
        <w:szCs w:val="24"/>
      </w:rPr>
    </w:lvl>
    <w:lvl w:ilvl="3" w:tplc="7478B85E">
      <w:numFmt w:val="bullet"/>
      <w:lvlText w:val="•"/>
      <w:lvlJc w:val="left"/>
      <w:pPr>
        <w:ind w:left="2100" w:hanging="360"/>
      </w:pPr>
      <w:rPr>
        <w:rFonts w:hint="default"/>
      </w:rPr>
    </w:lvl>
    <w:lvl w:ilvl="4" w:tplc="5F387AB0">
      <w:numFmt w:val="bullet"/>
      <w:lvlText w:val="•"/>
      <w:lvlJc w:val="left"/>
      <w:pPr>
        <w:ind w:left="3211" w:hanging="360"/>
      </w:pPr>
      <w:rPr>
        <w:rFonts w:hint="default"/>
      </w:rPr>
    </w:lvl>
    <w:lvl w:ilvl="5" w:tplc="145A38EA">
      <w:numFmt w:val="bullet"/>
      <w:lvlText w:val="•"/>
      <w:lvlJc w:val="left"/>
      <w:pPr>
        <w:ind w:left="4322" w:hanging="360"/>
      </w:pPr>
      <w:rPr>
        <w:rFonts w:hint="default"/>
      </w:rPr>
    </w:lvl>
    <w:lvl w:ilvl="6" w:tplc="E488EE20">
      <w:numFmt w:val="bullet"/>
      <w:lvlText w:val="•"/>
      <w:lvlJc w:val="left"/>
      <w:pPr>
        <w:ind w:left="5434" w:hanging="360"/>
      </w:pPr>
      <w:rPr>
        <w:rFonts w:hint="default"/>
      </w:rPr>
    </w:lvl>
    <w:lvl w:ilvl="7" w:tplc="060A3024">
      <w:numFmt w:val="bullet"/>
      <w:lvlText w:val="•"/>
      <w:lvlJc w:val="left"/>
      <w:pPr>
        <w:ind w:left="6545" w:hanging="360"/>
      </w:pPr>
      <w:rPr>
        <w:rFonts w:hint="default"/>
      </w:rPr>
    </w:lvl>
    <w:lvl w:ilvl="8" w:tplc="6472E24C">
      <w:numFmt w:val="bullet"/>
      <w:lvlText w:val="•"/>
      <w:lvlJc w:val="left"/>
      <w:pPr>
        <w:ind w:left="7657" w:hanging="360"/>
      </w:pPr>
      <w:rPr>
        <w:rFonts w:hint="default"/>
      </w:rPr>
    </w:lvl>
  </w:abstractNum>
  <w:abstractNum w:abstractNumId="5" w15:restartNumberingAfterBreak="0">
    <w:nsid w:val="2A9B3CF5"/>
    <w:multiLevelType w:val="hybridMultilevel"/>
    <w:tmpl w:val="7B644020"/>
    <w:lvl w:ilvl="0" w:tplc="5866B590">
      <w:start w:val="1"/>
      <w:numFmt w:val="decimal"/>
      <w:lvlText w:val="%1)"/>
      <w:lvlJc w:val="left"/>
      <w:pPr>
        <w:ind w:left="827" w:hanging="360"/>
        <w:jc w:val="left"/>
      </w:pPr>
      <w:rPr>
        <w:rFonts w:ascii="Liberation Sans Narrow" w:eastAsia="Liberation Sans Narrow" w:hAnsi="Liberation Sans Narrow" w:cs="Liberation Sans Narrow" w:hint="default"/>
        <w:spacing w:val="-1"/>
        <w:w w:val="99"/>
        <w:sz w:val="24"/>
        <w:szCs w:val="24"/>
      </w:rPr>
    </w:lvl>
    <w:lvl w:ilvl="1" w:tplc="FE24304E">
      <w:numFmt w:val="bullet"/>
      <w:lvlText w:val="•"/>
      <w:lvlJc w:val="left"/>
      <w:pPr>
        <w:ind w:left="1215" w:hanging="360"/>
      </w:pPr>
      <w:rPr>
        <w:rFonts w:hint="default"/>
      </w:rPr>
    </w:lvl>
    <w:lvl w:ilvl="2" w:tplc="7A3CCD08">
      <w:numFmt w:val="bullet"/>
      <w:lvlText w:val="•"/>
      <w:lvlJc w:val="left"/>
      <w:pPr>
        <w:ind w:left="1611" w:hanging="360"/>
      </w:pPr>
      <w:rPr>
        <w:rFonts w:hint="default"/>
      </w:rPr>
    </w:lvl>
    <w:lvl w:ilvl="3" w:tplc="2EE20932">
      <w:numFmt w:val="bullet"/>
      <w:lvlText w:val="•"/>
      <w:lvlJc w:val="left"/>
      <w:pPr>
        <w:ind w:left="2007" w:hanging="360"/>
      </w:pPr>
      <w:rPr>
        <w:rFonts w:hint="default"/>
      </w:rPr>
    </w:lvl>
    <w:lvl w:ilvl="4" w:tplc="2B46855C">
      <w:numFmt w:val="bullet"/>
      <w:lvlText w:val="•"/>
      <w:lvlJc w:val="left"/>
      <w:pPr>
        <w:ind w:left="2403" w:hanging="360"/>
      </w:pPr>
      <w:rPr>
        <w:rFonts w:hint="default"/>
      </w:rPr>
    </w:lvl>
    <w:lvl w:ilvl="5" w:tplc="B9E072CC">
      <w:numFmt w:val="bullet"/>
      <w:lvlText w:val="•"/>
      <w:lvlJc w:val="left"/>
      <w:pPr>
        <w:ind w:left="2799" w:hanging="360"/>
      </w:pPr>
      <w:rPr>
        <w:rFonts w:hint="default"/>
      </w:rPr>
    </w:lvl>
    <w:lvl w:ilvl="6" w:tplc="6468527C">
      <w:numFmt w:val="bullet"/>
      <w:lvlText w:val="•"/>
      <w:lvlJc w:val="left"/>
      <w:pPr>
        <w:ind w:left="3194" w:hanging="360"/>
      </w:pPr>
      <w:rPr>
        <w:rFonts w:hint="default"/>
      </w:rPr>
    </w:lvl>
    <w:lvl w:ilvl="7" w:tplc="B8042892">
      <w:numFmt w:val="bullet"/>
      <w:lvlText w:val="•"/>
      <w:lvlJc w:val="left"/>
      <w:pPr>
        <w:ind w:left="3590" w:hanging="360"/>
      </w:pPr>
      <w:rPr>
        <w:rFonts w:hint="default"/>
      </w:rPr>
    </w:lvl>
    <w:lvl w:ilvl="8" w:tplc="DFD8E01C">
      <w:numFmt w:val="bullet"/>
      <w:lvlText w:val="•"/>
      <w:lvlJc w:val="left"/>
      <w:pPr>
        <w:ind w:left="3986" w:hanging="360"/>
      </w:pPr>
      <w:rPr>
        <w:rFonts w:hint="default"/>
      </w:rPr>
    </w:lvl>
  </w:abstractNum>
  <w:abstractNum w:abstractNumId="6" w15:restartNumberingAfterBreak="0">
    <w:nsid w:val="2D560419"/>
    <w:multiLevelType w:val="hybridMultilevel"/>
    <w:tmpl w:val="C3FAD4B6"/>
    <w:lvl w:ilvl="0" w:tplc="0194E240">
      <w:numFmt w:val="bullet"/>
      <w:lvlText w:val=""/>
      <w:lvlJc w:val="left"/>
      <w:pPr>
        <w:ind w:left="827" w:hanging="360"/>
      </w:pPr>
      <w:rPr>
        <w:rFonts w:ascii="Symbol" w:eastAsia="Symbol" w:hAnsi="Symbol" w:cs="Symbol" w:hint="default"/>
        <w:w w:val="100"/>
        <w:sz w:val="24"/>
        <w:szCs w:val="24"/>
      </w:rPr>
    </w:lvl>
    <w:lvl w:ilvl="1" w:tplc="6A42C1AA">
      <w:numFmt w:val="bullet"/>
      <w:lvlText w:val="•"/>
      <w:lvlJc w:val="left"/>
      <w:pPr>
        <w:ind w:left="1215" w:hanging="360"/>
      </w:pPr>
      <w:rPr>
        <w:rFonts w:hint="default"/>
      </w:rPr>
    </w:lvl>
    <w:lvl w:ilvl="2" w:tplc="4C327576">
      <w:numFmt w:val="bullet"/>
      <w:lvlText w:val="•"/>
      <w:lvlJc w:val="left"/>
      <w:pPr>
        <w:ind w:left="1611" w:hanging="360"/>
      </w:pPr>
      <w:rPr>
        <w:rFonts w:hint="default"/>
      </w:rPr>
    </w:lvl>
    <w:lvl w:ilvl="3" w:tplc="AB4612FA">
      <w:numFmt w:val="bullet"/>
      <w:lvlText w:val="•"/>
      <w:lvlJc w:val="left"/>
      <w:pPr>
        <w:ind w:left="2007" w:hanging="360"/>
      </w:pPr>
      <w:rPr>
        <w:rFonts w:hint="default"/>
      </w:rPr>
    </w:lvl>
    <w:lvl w:ilvl="4" w:tplc="6F3482E4">
      <w:numFmt w:val="bullet"/>
      <w:lvlText w:val="•"/>
      <w:lvlJc w:val="left"/>
      <w:pPr>
        <w:ind w:left="2403" w:hanging="360"/>
      </w:pPr>
      <w:rPr>
        <w:rFonts w:hint="default"/>
      </w:rPr>
    </w:lvl>
    <w:lvl w:ilvl="5" w:tplc="F04646BA">
      <w:numFmt w:val="bullet"/>
      <w:lvlText w:val="•"/>
      <w:lvlJc w:val="left"/>
      <w:pPr>
        <w:ind w:left="2799" w:hanging="360"/>
      </w:pPr>
      <w:rPr>
        <w:rFonts w:hint="default"/>
      </w:rPr>
    </w:lvl>
    <w:lvl w:ilvl="6" w:tplc="CF1E577E">
      <w:numFmt w:val="bullet"/>
      <w:lvlText w:val="•"/>
      <w:lvlJc w:val="left"/>
      <w:pPr>
        <w:ind w:left="3194" w:hanging="360"/>
      </w:pPr>
      <w:rPr>
        <w:rFonts w:hint="default"/>
      </w:rPr>
    </w:lvl>
    <w:lvl w:ilvl="7" w:tplc="0C7A0414">
      <w:numFmt w:val="bullet"/>
      <w:lvlText w:val="•"/>
      <w:lvlJc w:val="left"/>
      <w:pPr>
        <w:ind w:left="3590" w:hanging="360"/>
      </w:pPr>
      <w:rPr>
        <w:rFonts w:hint="default"/>
      </w:rPr>
    </w:lvl>
    <w:lvl w:ilvl="8" w:tplc="F4F619B0">
      <w:numFmt w:val="bullet"/>
      <w:lvlText w:val="•"/>
      <w:lvlJc w:val="left"/>
      <w:pPr>
        <w:ind w:left="3986" w:hanging="360"/>
      </w:pPr>
      <w:rPr>
        <w:rFonts w:hint="default"/>
      </w:rPr>
    </w:lvl>
  </w:abstractNum>
  <w:abstractNum w:abstractNumId="7" w15:restartNumberingAfterBreak="0">
    <w:nsid w:val="347525A7"/>
    <w:multiLevelType w:val="hybridMultilevel"/>
    <w:tmpl w:val="52306FD8"/>
    <w:lvl w:ilvl="0" w:tplc="4DFC5242">
      <w:numFmt w:val="bullet"/>
      <w:lvlText w:val=""/>
      <w:lvlJc w:val="left"/>
      <w:pPr>
        <w:ind w:left="827" w:hanging="360"/>
      </w:pPr>
      <w:rPr>
        <w:rFonts w:ascii="Symbol" w:eastAsia="Symbol" w:hAnsi="Symbol" w:cs="Symbol" w:hint="default"/>
        <w:w w:val="100"/>
        <w:sz w:val="24"/>
        <w:szCs w:val="24"/>
      </w:rPr>
    </w:lvl>
    <w:lvl w:ilvl="1" w:tplc="1EB8007E">
      <w:numFmt w:val="bullet"/>
      <w:lvlText w:val="•"/>
      <w:lvlJc w:val="left"/>
      <w:pPr>
        <w:ind w:left="1215" w:hanging="360"/>
      </w:pPr>
      <w:rPr>
        <w:rFonts w:hint="default"/>
      </w:rPr>
    </w:lvl>
    <w:lvl w:ilvl="2" w:tplc="4490C4DE">
      <w:numFmt w:val="bullet"/>
      <w:lvlText w:val="•"/>
      <w:lvlJc w:val="left"/>
      <w:pPr>
        <w:ind w:left="1611" w:hanging="360"/>
      </w:pPr>
      <w:rPr>
        <w:rFonts w:hint="default"/>
      </w:rPr>
    </w:lvl>
    <w:lvl w:ilvl="3" w:tplc="0B8EA74E">
      <w:numFmt w:val="bullet"/>
      <w:lvlText w:val="•"/>
      <w:lvlJc w:val="left"/>
      <w:pPr>
        <w:ind w:left="2007" w:hanging="360"/>
      </w:pPr>
      <w:rPr>
        <w:rFonts w:hint="default"/>
      </w:rPr>
    </w:lvl>
    <w:lvl w:ilvl="4" w:tplc="EC04D9DC">
      <w:numFmt w:val="bullet"/>
      <w:lvlText w:val="•"/>
      <w:lvlJc w:val="left"/>
      <w:pPr>
        <w:ind w:left="2403" w:hanging="360"/>
      </w:pPr>
      <w:rPr>
        <w:rFonts w:hint="default"/>
      </w:rPr>
    </w:lvl>
    <w:lvl w:ilvl="5" w:tplc="528C2E9A">
      <w:numFmt w:val="bullet"/>
      <w:lvlText w:val="•"/>
      <w:lvlJc w:val="left"/>
      <w:pPr>
        <w:ind w:left="2799" w:hanging="360"/>
      </w:pPr>
      <w:rPr>
        <w:rFonts w:hint="default"/>
      </w:rPr>
    </w:lvl>
    <w:lvl w:ilvl="6" w:tplc="29DE7A10">
      <w:numFmt w:val="bullet"/>
      <w:lvlText w:val="•"/>
      <w:lvlJc w:val="left"/>
      <w:pPr>
        <w:ind w:left="3194" w:hanging="360"/>
      </w:pPr>
      <w:rPr>
        <w:rFonts w:hint="default"/>
      </w:rPr>
    </w:lvl>
    <w:lvl w:ilvl="7" w:tplc="326A9C56">
      <w:numFmt w:val="bullet"/>
      <w:lvlText w:val="•"/>
      <w:lvlJc w:val="left"/>
      <w:pPr>
        <w:ind w:left="3590" w:hanging="360"/>
      </w:pPr>
      <w:rPr>
        <w:rFonts w:hint="default"/>
      </w:rPr>
    </w:lvl>
    <w:lvl w:ilvl="8" w:tplc="0DA4CA0A">
      <w:numFmt w:val="bullet"/>
      <w:lvlText w:val="•"/>
      <w:lvlJc w:val="left"/>
      <w:pPr>
        <w:ind w:left="3986" w:hanging="360"/>
      </w:pPr>
      <w:rPr>
        <w:rFonts w:hint="default"/>
      </w:rPr>
    </w:lvl>
  </w:abstractNum>
  <w:abstractNum w:abstractNumId="8" w15:restartNumberingAfterBreak="0">
    <w:nsid w:val="3CA71144"/>
    <w:multiLevelType w:val="hybridMultilevel"/>
    <w:tmpl w:val="12BADDAA"/>
    <w:lvl w:ilvl="0" w:tplc="651E9838">
      <w:numFmt w:val="bullet"/>
      <w:lvlText w:val=""/>
      <w:lvlJc w:val="left"/>
      <w:pPr>
        <w:ind w:left="827" w:hanging="360"/>
      </w:pPr>
      <w:rPr>
        <w:rFonts w:ascii="Symbol" w:eastAsia="Symbol" w:hAnsi="Symbol" w:cs="Symbol" w:hint="default"/>
        <w:w w:val="100"/>
        <w:sz w:val="24"/>
        <w:szCs w:val="24"/>
      </w:rPr>
    </w:lvl>
    <w:lvl w:ilvl="1" w:tplc="31A61EBA">
      <w:numFmt w:val="bullet"/>
      <w:lvlText w:val="•"/>
      <w:lvlJc w:val="left"/>
      <w:pPr>
        <w:ind w:left="1215" w:hanging="360"/>
      </w:pPr>
      <w:rPr>
        <w:rFonts w:hint="default"/>
      </w:rPr>
    </w:lvl>
    <w:lvl w:ilvl="2" w:tplc="42980D2E">
      <w:numFmt w:val="bullet"/>
      <w:lvlText w:val="•"/>
      <w:lvlJc w:val="left"/>
      <w:pPr>
        <w:ind w:left="1611" w:hanging="360"/>
      </w:pPr>
      <w:rPr>
        <w:rFonts w:hint="default"/>
      </w:rPr>
    </w:lvl>
    <w:lvl w:ilvl="3" w:tplc="19AC216C">
      <w:numFmt w:val="bullet"/>
      <w:lvlText w:val="•"/>
      <w:lvlJc w:val="left"/>
      <w:pPr>
        <w:ind w:left="2007" w:hanging="360"/>
      </w:pPr>
      <w:rPr>
        <w:rFonts w:hint="default"/>
      </w:rPr>
    </w:lvl>
    <w:lvl w:ilvl="4" w:tplc="8B1A025C">
      <w:numFmt w:val="bullet"/>
      <w:lvlText w:val="•"/>
      <w:lvlJc w:val="left"/>
      <w:pPr>
        <w:ind w:left="2403" w:hanging="360"/>
      </w:pPr>
      <w:rPr>
        <w:rFonts w:hint="default"/>
      </w:rPr>
    </w:lvl>
    <w:lvl w:ilvl="5" w:tplc="FF40BE7C">
      <w:numFmt w:val="bullet"/>
      <w:lvlText w:val="•"/>
      <w:lvlJc w:val="left"/>
      <w:pPr>
        <w:ind w:left="2799" w:hanging="360"/>
      </w:pPr>
      <w:rPr>
        <w:rFonts w:hint="default"/>
      </w:rPr>
    </w:lvl>
    <w:lvl w:ilvl="6" w:tplc="1BB69BE6">
      <w:numFmt w:val="bullet"/>
      <w:lvlText w:val="•"/>
      <w:lvlJc w:val="left"/>
      <w:pPr>
        <w:ind w:left="3194" w:hanging="360"/>
      </w:pPr>
      <w:rPr>
        <w:rFonts w:hint="default"/>
      </w:rPr>
    </w:lvl>
    <w:lvl w:ilvl="7" w:tplc="4198B3E4">
      <w:numFmt w:val="bullet"/>
      <w:lvlText w:val="•"/>
      <w:lvlJc w:val="left"/>
      <w:pPr>
        <w:ind w:left="3590" w:hanging="360"/>
      </w:pPr>
      <w:rPr>
        <w:rFonts w:hint="default"/>
      </w:rPr>
    </w:lvl>
    <w:lvl w:ilvl="8" w:tplc="E30CC8E6">
      <w:numFmt w:val="bullet"/>
      <w:lvlText w:val="•"/>
      <w:lvlJc w:val="left"/>
      <w:pPr>
        <w:ind w:left="3986" w:hanging="360"/>
      </w:pPr>
      <w:rPr>
        <w:rFonts w:hint="default"/>
      </w:rPr>
    </w:lvl>
  </w:abstractNum>
  <w:abstractNum w:abstractNumId="9" w15:restartNumberingAfterBreak="0">
    <w:nsid w:val="445D5783"/>
    <w:multiLevelType w:val="hybridMultilevel"/>
    <w:tmpl w:val="0F26A53A"/>
    <w:lvl w:ilvl="0" w:tplc="25129BF6">
      <w:numFmt w:val="bullet"/>
      <w:lvlText w:val="-"/>
      <w:lvlJc w:val="left"/>
      <w:pPr>
        <w:ind w:left="107" w:hanging="121"/>
      </w:pPr>
      <w:rPr>
        <w:rFonts w:ascii="Liberation Sans Narrow" w:eastAsia="Liberation Sans Narrow" w:hAnsi="Liberation Sans Narrow" w:cs="Liberation Sans Narrow" w:hint="default"/>
        <w:w w:val="100"/>
        <w:sz w:val="24"/>
        <w:szCs w:val="24"/>
      </w:rPr>
    </w:lvl>
    <w:lvl w:ilvl="1" w:tplc="94420F72">
      <w:numFmt w:val="bullet"/>
      <w:lvlText w:val="•"/>
      <w:lvlJc w:val="left"/>
      <w:pPr>
        <w:ind w:left="567" w:hanging="121"/>
      </w:pPr>
      <w:rPr>
        <w:rFonts w:hint="default"/>
      </w:rPr>
    </w:lvl>
    <w:lvl w:ilvl="2" w:tplc="0A0482D0">
      <w:numFmt w:val="bullet"/>
      <w:lvlText w:val="•"/>
      <w:lvlJc w:val="left"/>
      <w:pPr>
        <w:ind w:left="1035" w:hanging="121"/>
      </w:pPr>
      <w:rPr>
        <w:rFonts w:hint="default"/>
      </w:rPr>
    </w:lvl>
    <w:lvl w:ilvl="3" w:tplc="F82A0752">
      <w:numFmt w:val="bullet"/>
      <w:lvlText w:val="•"/>
      <w:lvlJc w:val="left"/>
      <w:pPr>
        <w:ind w:left="1503" w:hanging="121"/>
      </w:pPr>
      <w:rPr>
        <w:rFonts w:hint="default"/>
      </w:rPr>
    </w:lvl>
    <w:lvl w:ilvl="4" w:tplc="12EC3E4A">
      <w:numFmt w:val="bullet"/>
      <w:lvlText w:val="•"/>
      <w:lvlJc w:val="left"/>
      <w:pPr>
        <w:ind w:left="1971" w:hanging="121"/>
      </w:pPr>
      <w:rPr>
        <w:rFonts w:hint="default"/>
      </w:rPr>
    </w:lvl>
    <w:lvl w:ilvl="5" w:tplc="2444D116">
      <w:numFmt w:val="bullet"/>
      <w:lvlText w:val="•"/>
      <w:lvlJc w:val="left"/>
      <w:pPr>
        <w:ind w:left="2439" w:hanging="121"/>
      </w:pPr>
      <w:rPr>
        <w:rFonts w:hint="default"/>
      </w:rPr>
    </w:lvl>
    <w:lvl w:ilvl="6" w:tplc="EEF02736">
      <w:numFmt w:val="bullet"/>
      <w:lvlText w:val="•"/>
      <w:lvlJc w:val="left"/>
      <w:pPr>
        <w:ind w:left="2906" w:hanging="121"/>
      </w:pPr>
      <w:rPr>
        <w:rFonts w:hint="default"/>
      </w:rPr>
    </w:lvl>
    <w:lvl w:ilvl="7" w:tplc="9BD6F9EA">
      <w:numFmt w:val="bullet"/>
      <w:lvlText w:val="•"/>
      <w:lvlJc w:val="left"/>
      <w:pPr>
        <w:ind w:left="3374" w:hanging="121"/>
      </w:pPr>
      <w:rPr>
        <w:rFonts w:hint="default"/>
      </w:rPr>
    </w:lvl>
    <w:lvl w:ilvl="8" w:tplc="31E21A1E">
      <w:numFmt w:val="bullet"/>
      <w:lvlText w:val="•"/>
      <w:lvlJc w:val="left"/>
      <w:pPr>
        <w:ind w:left="3842" w:hanging="121"/>
      </w:pPr>
      <w:rPr>
        <w:rFonts w:hint="default"/>
      </w:rPr>
    </w:lvl>
  </w:abstractNum>
  <w:abstractNum w:abstractNumId="10" w15:restartNumberingAfterBreak="0">
    <w:nsid w:val="51CF4829"/>
    <w:multiLevelType w:val="hybridMultilevel"/>
    <w:tmpl w:val="42C6FC1A"/>
    <w:lvl w:ilvl="0" w:tplc="116E23BC">
      <w:numFmt w:val="bullet"/>
      <w:lvlText w:val=""/>
      <w:lvlJc w:val="left"/>
      <w:pPr>
        <w:ind w:left="827" w:hanging="360"/>
      </w:pPr>
      <w:rPr>
        <w:rFonts w:ascii="Symbol" w:eastAsia="Symbol" w:hAnsi="Symbol" w:cs="Symbol" w:hint="default"/>
        <w:w w:val="100"/>
        <w:sz w:val="24"/>
        <w:szCs w:val="24"/>
      </w:rPr>
    </w:lvl>
    <w:lvl w:ilvl="1" w:tplc="4B8EE1F2">
      <w:numFmt w:val="bullet"/>
      <w:lvlText w:val="•"/>
      <w:lvlJc w:val="left"/>
      <w:pPr>
        <w:ind w:left="1215" w:hanging="360"/>
      </w:pPr>
      <w:rPr>
        <w:rFonts w:hint="default"/>
      </w:rPr>
    </w:lvl>
    <w:lvl w:ilvl="2" w:tplc="847AB386">
      <w:numFmt w:val="bullet"/>
      <w:lvlText w:val="•"/>
      <w:lvlJc w:val="left"/>
      <w:pPr>
        <w:ind w:left="1611" w:hanging="360"/>
      </w:pPr>
      <w:rPr>
        <w:rFonts w:hint="default"/>
      </w:rPr>
    </w:lvl>
    <w:lvl w:ilvl="3" w:tplc="8D98AD18">
      <w:numFmt w:val="bullet"/>
      <w:lvlText w:val="•"/>
      <w:lvlJc w:val="left"/>
      <w:pPr>
        <w:ind w:left="2007" w:hanging="360"/>
      </w:pPr>
      <w:rPr>
        <w:rFonts w:hint="default"/>
      </w:rPr>
    </w:lvl>
    <w:lvl w:ilvl="4" w:tplc="0F104730">
      <w:numFmt w:val="bullet"/>
      <w:lvlText w:val="•"/>
      <w:lvlJc w:val="left"/>
      <w:pPr>
        <w:ind w:left="2403" w:hanging="360"/>
      </w:pPr>
      <w:rPr>
        <w:rFonts w:hint="default"/>
      </w:rPr>
    </w:lvl>
    <w:lvl w:ilvl="5" w:tplc="67C42C20">
      <w:numFmt w:val="bullet"/>
      <w:lvlText w:val="•"/>
      <w:lvlJc w:val="left"/>
      <w:pPr>
        <w:ind w:left="2799" w:hanging="360"/>
      </w:pPr>
      <w:rPr>
        <w:rFonts w:hint="default"/>
      </w:rPr>
    </w:lvl>
    <w:lvl w:ilvl="6" w:tplc="279C0024">
      <w:numFmt w:val="bullet"/>
      <w:lvlText w:val="•"/>
      <w:lvlJc w:val="left"/>
      <w:pPr>
        <w:ind w:left="3194" w:hanging="360"/>
      </w:pPr>
      <w:rPr>
        <w:rFonts w:hint="default"/>
      </w:rPr>
    </w:lvl>
    <w:lvl w:ilvl="7" w:tplc="9D042180">
      <w:numFmt w:val="bullet"/>
      <w:lvlText w:val="•"/>
      <w:lvlJc w:val="left"/>
      <w:pPr>
        <w:ind w:left="3590" w:hanging="360"/>
      </w:pPr>
      <w:rPr>
        <w:rFonts w:hint="default"/>
      </w:rPr>
    </w:lvl>
    <w:lvl w:ilvl="8" w:tplc="AD645F46">
      <w:numFmt w:val="bullet"/>
      <w:lvlText w:val="•"/>
      <w:lvlJc w:val="left"/>
      <w:pPr>
        <w:ind w:left="3986" w:hanging="360"/>
      </w:pPr>
      <w:rPr>
        <w:rFonts w:hint="default"/>
      </w:rPr>
    </w:lvl>
  </w:abstractNum>
  <w:abstractNum w:abstractNumId="11" w15:restartNumberingAfterBreak="0">
    <w:nsid w:val="555316F5"/>
    <w:multiLevelType w:val="hybridMultilevel"/>
    <w:tmpl w:val="DF3E040A"/>
    <w:lvl w:ilvl="0" w:tplc="2FF2B650">
      <w:start w:val="1"/>
      <w:numFmt w:val="decimal"/>
      <w:lvlText w:val="%1."/>
      <w:lvlJc w:val="left"/>
      <w:pPr>
        <w:ind w:left="1020" w:hanging="360"/>
        <w:jc w:val="left"/>
      </w:pPr>
      <w:rPr>
        <w:rFonts w:ascii="Liberation Sans Narrow" w:eastAsia="Liberation Sans Narrow" w:hAnsi="Liberation Sans Narrow" w:cs="Liberation Sans Narrow" w:hint="default"/>
        <w:spacing w:val="-1"/>
        <w:w w:val="99"/>
        <w:sz w:val="24"/>
        <w:szCs w:val="24"/>
      </w:rPr>
    </w:lvl>
    <w:lvl w:ilvl="1" w:tplc="B2668B48">
      <w:numFmt w:val="bullet"/>
      <w:lvlText w:val="•"/>
      <w:lvlJc w:val="left"/>
      <w:pPr>
        <w:ind w:left="1906" w:hanging="360"/>
      </w:pPr>
      <w:rPr>
        <w:rFonts w:hint="default"/>
      </w:rPr>
    </w:lvl>
    <w:lvl w:ilvl="2" w:tplc="BC1280DE">
      <w:numFmt w:val="bullet"/>
      <w:lvlText w:val="•"/>
      <w:lvlJc w:val="left"/>
      <w:pPr>
        <w:ind w:left="2792" w:hanging="360"/>
      </w:pPr>
      <w:rPr>
        <w:rFonts w:hint="default"/>
      </w:rPr>
    </w:lvl>
    <w:lvl w:ilvl="3" w:tplc="2ABCF0E2">
      <w:numFmt w:val="bullet"/>
      <w:lvlText w:val="•"/>
      <w:lvlJc w:val="left"/>
      <w:pPr>
        <w:ind w:left="3678" w:hanging="360"/>
      </w:pPr>
      <w:rPr>
        <w:rFonts w:hint="default"/>
      </w:rPr>
    </w:lvl>
    <w:lvl w:ilvl="4" w:tplc="B3BE1E6C">
      <w:numFmt w:val="bullet"/>
      <w:lvlText w:val="•"/>
      <w:lvlJc w:val="left"/>
      <w:pPr>
        <w:ind w:left="4564" w:hanging="360"/>
      </w:pPr>
      <w:rPr>
        <w:rFonts w:hint="default"/>
      </w:rPr>
    </w:lvl>
    <w:lvl w:ilvl="5" w:tplc="79DC71F2">
      <w:numFmt w:val="bullet"/>
      <w:lvlText w:val="•"/>
      <w:lvlJc w:val="left"/>
      <w:pPr>
        <w:ind w:left="5450" w:hanging="360"/>
      </w:pPr>
      <w:rPr>
        <w:rFonts w:hint="default"/>
      </w:rPr>
    </w:lvl>
    <w:lvl w:ilvl="6" w:tplc="B9AA68B6">
      <w:numFmt w:val="bullet"/>
      <w:lvlText w:val="•"/>
      <w:lvlJc w:val="left"/>
      <w:pPr>
        <w:ind w:left="6336" w:hanging="360"/>
      </w:pPr>
      <w:rPr>
        <w:rFonts w:hint="default"/>
      </w:rPr>
    </w:lvl>
    <w:lvl w:ilvl="7" w:tplc="88CEEBF0">
      <w:numFmt w:val="bullet"/>
      <w:lvlText w:val="•"/>
      <w:lvlJc w:val="left"/>
      <w:pPr>
        <w:ind w:left="7222" w:hanging="360"/>
      </w:pPr>
      <w:rPr>
        <w:rFonts w:hint="default"/>
      </w:rPr>
    </w:lvl>
    <w:lvl w:ilvl="8" w:tplc="EA7C3110">
      <w:numFmt w:val="bullet"/>
      <w:lvlText w:val="•"/>
      <w:lvlJc w:val="left"/>
      <w:pPr>
        <w:ind w:left="8108" w:hanging="360"/>
      </w:pPr>
      <w:rPr>
        <w:rFonts w:hint="default"/>
      </w:rPr>
    </w:lvl>
  </w:abstractNum>
  <w:abstractNum w:abstractNumId="12" w15:restartNumberingAfterBreak="0">
    <w:nsid w:val="5C241EA5"/>
    <w:multiLevelType w:val="hybridMultilevel"/>
    <w:tmpl w:val="9E7CA4A0"/>
    <w:lvl w:ilvl="0" w:tplc="0D860F76">
      <w:numFmt w:val="bullet"/>
      <w:lvlText w:val=""/>
      <w:lvlJc w:val="left"/>
      <w:pPr>
        <w:ind w:left="827" w:hanging="360"/>
      </w:pPr>
      <w:rPr>
        <w:rFonts w:ascii="Symbol" w:eastAsia="Symbol" w:hAnsi="Symbol" w:cs="Symbol" w:hint="default"/>
        <w:w w:val="100"/>
        <w:sz w:val="24"/>
        <w:szCs w:val="24"/>
      </w:rPr>
    </w:lvl>
    <w:lvl w:ilvl="1" w:tplc="6FE87A5C">
      <w:numFmt w:val="bullet"/>
      <w:lvlText w:val="•"/>
      <w:lvlJc w:val="left"/>
      <w:pPr>
        <w:ind w:left="1215" w:hanging="360"/>
      </w:pPr>
      <w:rPr>
        <w:rFonts w:hint="default"/>
      </w:rPr>
    </w:lvl>
    <w:lvl w:ilvl="2" w:tplc="A9DA7BAC">
      <w:numFmt w:val="bullet"/>
      <w:lvlText w:val="•"/>
      <w:lvlJc w:val="left"/>
      <w:pPr>
        <w:ind w:left="1611" w:hanging="360"/>
      </w:pPr>
      <w:rPr>
        <w:rFonts w:hint="default"/>
      </w:rPr>
    </w:lvl>
    <w:lvl w:ilvl="3" w:tplc="FCD4E01E">
      <w:numFmt w:val="bullet"/>
      <w:lvlText w:val="•"/>
      <w:lvlJc w:val="left"/>
      <w:pPr>
        <w:ind w:left="2007" w:hanging="360"/>
      </w:pPr>
      <w:rPr>
        <w:rFonts w:hint="default"/>
      </w:rPr>
    </w:lvl>
    <w:lvl w:ilvl="4" w:tplc="86F4A58E">
      <w:numFmt w:val="bullet"/>
      <w:lvlText w:val="•"/>
      <w:lvlJc w:val="left"/>
      <w:pPr>
        <w:ind w:left="2403" w:hanging="360"/>
      </w:pPr>
      <w:rPr>
        <w:rFonts w:hint="default"/>
      </w:rPr>
    </w:lvl>
    <w:lvl w:ilvl="5" w:tplc="C6B472F6">
      <w:numFmt w:val="bullet"/>
      <w:lvlText w:val="•"/>
      <w:lvlJc w:val="left"/>
      <w:pPr>
        <w:ind w:left="2799" w:hanging="360"/>
      </w:pPr>
      <w:rPr>
        <w:rFonts w:hint="default"/>
      </w:rPr>
    </w:lvl>
    <w:lvl w:ilvl="6" w:tplc="B726BD28">
      <w:numFmt w:val="bullet"/>
      <w:lvlText w:val="•"/>
      <w:lvlJc w:val="left"/>
      <w:pPr>
        <w:ind w:left="3194" w:hanging="360"/>
      </w:pPr>
      <w:rPr>
        <w:rFonts w:hint="default"/>
      </w:rPr>
    </w:lvl>
    <w:lvl w:ilvl="7" w:tplc="4BA8C3E0">
      <w:numFmt w:val="bullet"/>
      <w:lvlText w:val="•"/>
      <w:lvlJc w:val="left"/>
      <w:pPr>
        <w:ind w:left="3590" w:hanging="360"/>
      </w:pPr>
      <w:rPr>
        <w:rFonts w:hint="default"/>
      </w:rPr>
    </w:lvl>
    <w:lvl w:ilvl="8" w:tplc="0130F026">
      <w:numFmt w:val="bullet"/>
      <w:lvlText w:val="•"/>
      <w:lvlJc w:val="left"/>
      <w:pPr>
        <w:ind w:left="3986" w:hanging="360"/>
      </w:pPr>
      <w:rPr>
        <w:rFonts w:hint="default"/>
      </w:rPr>
    </w:lvl>
  </w:abstractNum>
  <w:abstractNum w:abstractNumId="13" w15:restartNumberingAfterBreak="0">
    <w:nsid w:val="5F35475C"/>
    <w:multiLevelType w:val="hybridMultilevel"/>
    <w:tmpl w:val="BC8251BC"/>
    <w:lvl w:ilvl="0" w:tplc="17D48C34">
      <w:start w:val="1"/>
      <w:numFmt w:val="decimal"/>
      <w:lvlText w:val="%1)"/>
      <w:lvlJc w:val="left"/>
      <w:pPr>
        <w:ind w:left="827" w:hanging="360"/>
        <w:jc w:val="left"/>
      </w:pPr>
      <w:rPr>
        <w:rFonts w:ascii="Liberation Sans Narrow" w:eastAsia="Liberation Sans Narrow" w:hAnsi="Liberation Sans Narrow" w:cs="Liberation Sans Narrow" w:hint="default"/>
        <w:spacing w:val="-1"/>
        <w:w w:val="99"/>
        <w:sz w:val="24"/>
        <w:szCs w:val="24"/>
      </w:rPr>
    </w:lvl>
    <w:lvl w:ilvl="1" w:tplc="388E04AE">
      <w:numFmt w:val="bullet"/>
      <w:lvlText w:val="•"/>
      <w:lvlJc w:val="left"/>
      <w:pPr>
        <w:ind w:left="1215" w:hanging="360"/>
      </w:pPr>
      <w:rPr>
        <w:rFonts w:hint="default"/>
      </w:rPr>
    </w:lvl>
    <w:lvl w:ilvl="2" w:tplc="C818E0F2">
      <w:numFmt w:val="bullet"/>
      <w:lvlText w:val="•"/>
      <w:lvlJc w:val="left"/>
      <w:pPr>
        <w:ind w:left="1611" w:hanging="360"/>
      </w:pPr>
      <w:rPr>
        <w:rFonts w:hint="default"/>
      </w:rPr>
    </w:lvl>
    <w:lvl w:ilvl="3" w:tplc="41BA0516">
      <w:numFmt w:val="bullet"/>
      <w:lvlText w:val="•"/>
      <w:lvlJc w:val="left"/>
      <w:pPr>
        <w:ind w:left="2007" w:hanging="360"/>
      </w:pPr>
      <w:rPr>
        <w:rFonts w:hint="default"/>
      </w:rPr>
    </w:lvl>
    <w:lvl w:ilvl="4" w:tplc="7CFC3732">
      <w:numFmt w:val="bullet"/>
      <w:lvlText w:val="•"/>
      <w:lvlJc w:val="left"/>
      <w:pPr>
        <w:ind w:left="2403" w:hanging="360"/>
      </w:pPr>
      <w:rPr>
        <w:rFonts w:hint="default"/>
      </w:rPr>
    </w:lvl>
    <w:lvl w:ilvl="5" w:tplc="EF6C9802">
      <w:numFmt w:val="bullet"/>
      <w:lvlText w:val="•"/>
      <w:lvlJc w:val="left"/>
      <w:pPr>
        <w:ind w:left="2799" w:hanging="360"/>
      </w:pPr>
      <w:rPr>
        <w:rFonts w:hint="default"/>
      </w:rPr>
    </w:lvl>
    <w:lvl w:ilvl="6" w:tplc="0E3A1600">
      <w:numFmt w:val="bullet"/>
      <w:lvlText w:val="•"/>
      <w:lvlJc w:val="left"/>
      <w:pPr>
        <w:ind w:left="3194" w:hanging="360"/>
      </w:pPr>
      <w:rPr>
        <w:rFonts w:hint="default"/>
      </w:rPr>
    </w:lvl>
    <w:lvl w:ilvl="7" w:tplc="84FAFD62">
      <w:numFmt w:val="bullet"/>
      <w:lvlText w:val="•"/>
      <w:lvlJc w:val="left"/>
      <w:pPr>
        <w:ind w:left="3590" w:hanging="360"/>
      </w:pPr>
      <w:rPr>
        <w:rFonts w:hint="default"/>
      </w:rPr>
    </w:lvl>
    <w:lvl w:ilvl="8" w:tplc="5734D67E">
      <w:numFmt w:val="bullet"/>
      <w:lvlText w:val="•"/>
      <w:lvlJc w:val="left"/>
      <w:pPr>
        <w:ind w:left="3986" w:hanging="360"/>
      </w:pPr>
      <w:rPr>
        <w:rFonts w:hint="default"/>
      </w:rPr>
    </w:lvl>
  </w:abstractNum>
  <w:abstractNum w:abstractNumId="14" w15:restartNumberingAfterBreak="0">
    <w:nsid w:val="727825F5"/>
    <w:multiLevelType w:val="hybridMultilevel"/>
    <w:tmpl w:val="A2B6CA3E"/>
    <w:lvl w:ilvl="0" w:tplc="267002F2">
      <w:numFmt w:val="bullet"/>
      <w:lvlText w:val=""/>
      <w:lvlJc w:val="left"/>
      <w:pPr>
        <w:ind w:left="827" w:hanging="360"/>
      </w:pPr>
      <w:rPr>
        <w:rFonts w:ascii="Symbol" w:eastAsia="Symbol" w:hAnsi="Symbol" w:cs="Symbol" w:hint="default"/>
        <w:w w:val="100"/>
        <w:sz w:val="24"/>
        <w:szCs w:val="24"/>
      </w:rPr>
    </w:lvl>
    <w:lvl w:ilvl="1" w:tplc="4798FDDA">
      <w:numFmt w:val="bullet"/>
      <w:lvlText w:val="•"/>
      <w:lvlJc w:val="left"/>
      <w:pPr>
        <w:ind w:left="1215" w:hanging="360"/>
      </w:pPr>
      <w:rPr>
        <w:rFonts w:hint="default"/>
      </w:rPr>
    </w:lvl>
    <w:lvl w:ilvl="2" w:tplc="2F204DDA">
      <w:numFmt w:val="bullet"/>
      <w:lvlText w:val="•"/>
      <w:lvlJc w:val="left"/>
      <w:pPr>
        <w:ind w:left="1611" w:hanging="360"/>
      </w:pPr>
      <w:rPr>
        <w:rFonts w:hint="default"/>
      </w:rPr>
    </w:lvl>
    <w:lvl w:ilvl="3" w:tplc="22CE9598">
      <w:numFmt w:val="bullet"/>
      <w:lvlText w:val="•"/>
      <w:lvlJc w:val="left"/>
      <w:pPr>
        <w:ind w:left="2007" w:hanging="360"/>
      </w:pPr>
      <w:rPr>
        <w:rFonts w:hint="default"/>
      </w:rPr>
    </w:lvl>
    <w:lvl w:ilvl="4" w:tplc="8A288D44">
      <w:numFmt w:val="bullet"/>
      <w:lvlText w:val="•"/>
      <w:lvlJc w:val="left"/>
      <w:pPr>
        <w:ind w:left="2403" w:hanging="360"/>
      </w:pPr>
      <w:rPr>
        <w:rFonts w:hint="default"/>
      </w:rPr>
    </w:lvl>
    <w:lvl w:ilvl="5" w:tplc="E0A84AD0">
      <w:numFmt w:val="bullet"/>
      <w:lvlText w:val="•"/>
      <w:lvlJc w:val="left"/>
      <w:pPr>
        <w:ind w:left="2799" w:hanging="360"/>
      </w:pPr>
      <w:rPr>
        <w:rFonts w:hint="default"/>
      </w:rPr>
    </w:lvl>
    <w:lvl w:ilvl="6" w:tplc="9F9A7B12">
      <w:numFmt w:val="bullet"/>
      <w:lvlText w:val="•"/>
      <w:lvlJc w:val="left"/>
      <w:pPr>
        <w:ind w:left="3194" w:hanging="360"/>
      </w:pPr>
      <w:rPr>
        <w:rFonts w:hint="default"/>
      </w:rPr>
    </w:lvl>
    <w:lvl w:ilvl="7" w:tplc="011E3274">
      <w:numFmt w:val="bullet"/>
      <w:lvlText w:val="•"/>
      <w:lvlJc w:val="left"/>
      <w:pPr>
        <w:ind w:left="3590" w:hanging="360"/>
      </w:pPr>
      <w:rPr>
        <w:rFonts w:hint="default"/>
      </w:rPr>
    </w:lvl>
    <w:lvl w:ilvl="8" w:tplc="F97829F2">
      <w:numFmt w:val="bullet"/>
      <w:lvlText w:val="•"/>
      <w:lvlJc w:val="left"/>
      <w:pPr>
        <w:ind w:left="3986" w:hanging="360"/>
      </w:pPr>
      <w:rPr>
        <w:rFonts w:hint="default"/>
      </w:rPr>
    </w:lvl>
  </w:abstractNum>
  <w:num w:numId="1">
    <w:abstractNumId w:val="11"/>
  </w:num>
  <w:num w:numId="2">
    <w:abstractNumId w:val="9"/>
  </w:num>
  <w:num w:numId="3">
    <w:abstractNumId w:val="4"/>
  </w:num>
  <w:num w:numId="4">
    <w:abstractNumId w:val="0"/>
  </w:num>
  <w:num w:numId="5">
    <w:abstractNumId w:val="1"/>
  </w:num>
  <w:num w:numId="6">
    <w:abstractNumId w:val="14"/>
  </w:num>
  <w:num w:numId="7">
    <w:abstractNumId w:val="10"/>
  </w:num>
  <w:num w:numId="8">
    <w:abstractNumId w:val="6"/>
  </w:num>
  <w:num w:numId="9">
    <w:abstractNumId w:val="12"/>
  </w:num>
  <w:num w:numId="10">
    <w:abstractNumId w:val="7"/>
  </w:num>
  <w:num w:numId="11">
    <w:abstractNumId w:val="8"/>
  </w:num>
  <w:num w:numId="12">
    <w:abstractNumId w:val="13"/>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E1"/>
    <w:rsid w:val="00A07DA3"/>
    <w:rsid w:val="00D6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6DF7C342-B391-4E91-908A-AE9F853B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ind w:left="300"/>
      <w:outlineLvl w:val="0"/>
    </w:pPr>
    <w:rPr>
      <w:b/>
      <w:bCs/>
      <w:sz w:val="24"/>
      <w:szCs w:val="24"/>
    </w:rPr>
  </w:style>
  <w:style w:type="paragraph" w:styleId="Heading2">
    <w:name w:val="heading 2"/>
    <w:basedOn w:val="Normal"/>
    <w:uiPriority w:val="1"/>
    <w:qFormat/>
    <w:pPr>
      <w:ind w:left="3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ruginfo@fda.hhs.gov" TargetMode="External"/><Relationship Id="rId13" Type="http://schemas.openxmlformats.org/officeDocument/2006/relationships/hyperlink" Target="mailto:mfelsen@ppmh.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fredlee@leedurha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CE@fda.hhs.gov" TargetMode="External"/><Relationship Id="rId5" Type="http://schemas.openxmlformats.org/officeDocument/2006/relationships/footnotes" Target="footnotes.xml"/><Relationship Id="rId15" Type="http://schemas.openxmlformats.org/officeDocument/2006/relationships/hyperlink" Target="http://www.fda.gov/Drugs/DevelopmentApprovalPro" TargetMode="External"/><Relationship Id="rId10" Type="http://schemas.openxmlformats.org/officeDocument/2006/relationships/hyperlink" Target="mailto:ocod@fda.hhs.gov" TargetMode="External"/><Relationship Id="rId4" Type="http://schemas.openxmlformats.org/officeDocument/2006/relationships/webSettings" Target="webSettings.xml"/><Relationship Id="rId9" Type="http://schemas.openxmlformats.org/officeDocument/2006/relationships/hyperlink" Target="mailto:o@fda.hhs.gov" TargetMode="External"/><Relationship Id="rId14" Type="http://schemas.openxmlformats.org/officeDocument/2006/relationships/hyperlink" Target="mailto:flewis@pp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Microsoft Word - IRB Emergency Use of Drugs, Biologics, and Devices - APPROVED 05.25.2016</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IRB Emergency Use of Drugs, Biologics, and Devices - APPROVED 05.25.2016</dc:title>
  <dc:creator>FLEWIS</dc:creator>
  <cp:lastModifiedBy>Reilly Moss</cp:lastModifiedBy>
  <cp:revision>2</cp:revision>
  <dcterms:created xsi:type="dcterms:W3CDTF">2019-07-08T18:49:00Z</dcterms:created>
  <dcterms:modified xsi:type="dcterms:W3CDTF">2019-07-08T18:49:00Z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Creator">
    <vt:lpwstr>PScript5.dll Version 5.2.2</vt:lpwstr>
  </property>
  <property fmtid="{D5CDD505-2E9C-101B-9397-08002B2CF9AE}" pid="4" name="LastSaved">
    <vt:filetime>2019-07-08T00:00:00Z</vt:filetime>
  </property>
</Properties>
</file>