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EF" w:rsidRDefault="00823C4C">
      <w:pPr>
        <w:spacing w:before="79"/>
        <w:ind w:left="3066"/>
        <w:rPr>
          <w:b/>
          <w:sz w:val="28"/>
        </w:rPr>
      </w:pPr>
      <w:r>
        <w:rPr>
          <w:b/>
          <w:sz w:val="28"/>
          <w:u w:val="thick"/>
        </w:rPr>
        <w:t>Colquitt Regional Medical Center</w:t>
      </w:r>
    </w:p>
    <w:p w:rsidR="00691AEF" w:rsidRDefault="00691AEF">
      <w:pPr>
        <w:pStyle w:val="BodyText"/>
        <w:spacing w:before="11"/>
        <w:rPr>
          <w:b/>
          <w:sz w:val="15"/>
        </w:rPr>
      </w:pPr>
    </w:p>
    <w:p w:rsidR="00691AEF" w:rsidRDefault="00D2166B">
      <w:pPr>
        <w:pStyle w:val="Heading1"/>
        <w:tabs>
          <w:tab w:val="left" w:pos="7500"/>
        </w:tabs>
        <w:spacing w:before="92"/>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334010</wp:posOffset>
                </wp:positionV>
                <wp:extent cx="5787390" cy="0"/>
                <wp:effectExtent l="22860" t="25400" r="28575" b="222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9278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6.3pt" to="5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s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" strokeweight="3.12pt">
                <w10:wrap type="topAndBottom" anchorx="page"/>
              </v:line>
            </w:pict>
          </mc:Fallback>
        </mc:AlternateContent>
      </w:r>
      <w:r>
        <w:t>INSTITUTIONAL REVIEW BOARD (IRB)</w:t>
      </w:r>
      <w:r>
        <w:rPr>
          <w:spacing w:val="-21"/>
        </w:rPr>
        <w:t xml:space="preserve"> </w:t>
      </w:r>
      <w:r>
        <w:t>EXPEDITED</w:t>
      </w:r>
      <w:r>
        <w:rPr>
          <w:spacing w:val="-5"/>
        </w:rPr>
        <w:t xml:space="preserve"> </w:t>
      </w:r>
      <w:r>
        <w:t>REVIEW</w:t>
      </w:r>
      <w:r>
        <w:tab/>
        <w:t>POLICY NO.:</w:t>
      </w:r>
      <w:r>
        <w:rPr>
          <w:spacing w:val="-2"/>
        </w:rPr>
        <w:t xml:space="preserve"> </w:t>
      </w:r>
    </w:p>
    <w:p w:rsidR="00691AEF" w:rsidRDefault="00D2166B">
      <w:pPr>
        <w:tabs>
          <w:tab w:val="left" w:pos="6781"/>
        </w:tabs>
        <w:spacing w:before="56"/>
        <w:ind w:left="299"/>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r>
        <w:rPr>
          <w:spacing w:val="-2"/>
          <w:sz w:val="24"/>
        </w:rPr>
        <w:t xml:space="preserve"> </w:t>
      </w:r>
    </w:p>
    <w:p w:rsidR="00691AEF" w:rsidRDefault="00D2166B">
      <w:pPr>
        <w:tabs>
          <w:tab w:val="left" w:pos="6779"/>
        </w:tabs>
        <w:spacing w:line="275" w:lineRule="exact"/>
        <w:ind w:left="299"/>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691AEF" w:rsidRDefault="00D2166B" w:rsidP="00823C4C">
      <w:pPr>
        <w:tabs>
          <w:tab w:val="left" w:pos="6779"/>
        </w:tabs>
        <w:ind w:left="6780" w:right="756" w:hanging="6480"/>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10"/>
          <w:sz w:val="24"/>
        </w:rPr>
        <w:t xml:space="preserve"> </w:t>
      </w:r>
      <w:r>
        <w:rPr>
          <w:sz w:val="24"/>
        </w:rPr>
        <w:t>Date:</w:t>
      </w:r>
      <w:r>
        <w:rPr>
          <w:spacing w:val="-9"/>
          <w:sz w:val="24"/>
        </w:rPr>
        <w:t xml:space="preserve"> </w:t>
      </w:r>
      <w:r>
        <w:rPr>
          <w:sz w:val="24"/>
        </w:rPr>
        <w:t>Effective Date:</w:t>
      </w:r>
      <w:r>
        <w:rPr>
          <w:spacing w:val="-23"/>
          <w:sz w:val="24"/>
        </w:rPr>
        <w:t xml:space="preserve"> </w:t>
      </w:r>
    </w:p>
    <w:p w:rsidR="00691AEF" w:rsidRDefault="00D2166B">
      <w:pPr>
        <w:pStyle w:val="BodyText"/>
        <w:rPr>
          <w:sz w:val="25"/>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227965</wp:posOffset>
                </wp:positionV>
                <wp:extent cx="5787390" cy="0"/>
                <wp:effectExtent l="22860" t="20955" r="28575" b="2667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566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VfHgIAAEI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" strokeweight="3.12pt">
                <w10:wrap type="topAndBottom" anchorx="page"/>
              </v:line>
            </w:pict>
          </mc:Fallback>
        </mc:AlternateContent>
      </w:r>
    </w:p>
    <w:p w:rsidR="00691AEF" w:rsidRDefault="00691AEF">
      <w:pPr>
        <w:pStyle w:val="BodyText"/>
        <w:spacing w:before="6"/>
        <w:rPr>
          <w:sz w:val="35"/>
        </w:rPr>
      </w:pPr>
    </w:p>
    <w:p w:rsidR="00691AEF" w:rsidRDefault="00D2166B">
      <w:pPr>
        <w:pStyle w:val="BodyText"/>
        <w:ind w:left="300" w:right="303"/>
      </w:pPr>
      <w:r>
        <w:rPr>
          <w:b/>
          <w:u w:val="single"/>
        </w:rPr>
        <w:t>SCOPE</w:t>
      </w:r>
      <w:r>
        <w:rPr>
          <w:b/>
        </w:rPr>
        <w:t xml:space="preserve">: </w:t>
      </w:r>
      <w:r>
        <w:t>The Expedited Review policy applies to all research involving human subjects, including behavioral, biomedical, and social sciences.</w:t>
      </w:r>
    </w:p>
    <w:p w:rsidR="00691AEF" w:rsidRDefault="00691AEF">
      <w:pPr>
        <w:pStyle w:val="BodyText"/>
        <w:rPr>
          <w:sz w:val="26"/>
        </w:rPr>
      </w:pPr>
    </w:p>
    <w:p w:rsidR="00691AEF" w:rsidRDefault="00691AEF">
      <w:pPr>
        <w:pStyle w:val="BodyText"/>
        <w:rPr>
          <w:sz w:val="22"/>
        </w:rPr>
      </w:pPr>
    </w:p>
    <w:p w:rsidR="00691AEF" w:rsidRDefault="00D2166B">
      <w:pPr>
        <w:pStyle w:val="BodyText"/>
        <w:ind w:left="300" w:right="218"/>
        <w:jc w:val="both"/>
      </w:pPr>
      <w:r>
        <w:rPr>
          <w:b/>
          <w:u w:val="single"/>
        </w:rPr>
        <w:t>PURPOSE:</w:t>
      </w:r>
      <w:r>
        <w:rPr>
          <w:b/>
        </w:rPr>
        <w:t xml:space="preserve"> </w:t>
      </w:r>
      <w:r>
        <w:t xml:space="preserve">To describe the </w:t>
      </w:r>
      <w:r w:rsidR="00823C4C">
        <w:t xml:space="preserve">Colquitt Regional Medical Center </w:t>
      </w:r>
      <w:r>
        <w:t>Institutional Review Board’s (IRB) expedited review process and define applicable categories of research studies eligible for review under this process.</w:t>
      </w:r>
    </w:p>
    <w:p w:rsidR="00691AEF" w:rsidRDefault="00691AEF">
      <w:pPr>
        <w:pStyle w:val="BodyText"/>
        <w:rPr>
          <w:sz w:val="26"/>
        </w:rPr>
      </w:pPr>
    </w:p>
    <w:p w:rsidR="00691AEF" w:rsidRDefault="00691AEF">
      <w:pPr>
        <w:pStyle w:val="BodyText"/>
        <w:spacing w:before="11"/>
        <w:rPr>
          <w:sz w:val="21"/>
        </w:rPr>
      </w:pPr>
    </w:p>
    <w:p w:rsidR="00691AEF" w:rsidRDefault="00D2166B">
      <w:pPr>
        <w:pStyle w:val="Heading1"/>
      </w:pPr>
      <w:r>
        <w:rPr>
          <w:u w:val="single"/>
        </w:rPr>
        <w:t>DEFINITIONS:</w:t>
      </w:r>
    </w:p>
    <w:p w:rsidR="00691AEF" w:rsidRDefault="00691AEF">
      <w:pPr>
        <w:pStyle w:val="BodyText"/>
        <w:spacing w:before="10"/>
        <w:rPr>
          <w:b/>
          <w:sz w:val="15"/>
        </w:rPr>
      </w:pPr>
    </w:p>
    <w:p w:rsidR="00691AEF" w:rsidRDefault="00D2166B">
      <w:pPr>
        <w:pStyle w:val="BodyText"/>
        <w:spacing w:before="93"/>
        <w:ind w:left="300" w:right="303"/>
      </w:pPr>
      <w:r>
        <w:t>Expedited Review: A procedure through which certain kinds of research may be reviewed and approved without convening a meeting of the IRB when the study involves no more than minimal risk to the subjects.</w:t>
      </w:r>
    </w:p>
    <w:p w:rsidR="00691AEF" w:rsidRDefault="00691AEF">
      <w:pPr>
        <w:pStyle w:val="BodyText"/>
      </w:pPr>
    </w:p>
    <w:p w:rsidR="00691AEF" w:rsidRDefault="00D2166B">
      <w:pPr>
        <w:pStyle w:val="BodyText"/>
        <w:spacing w:before="1"/>
        <w:ind w:left="300" w:right="606"/>
        <w:jc w:val="both"/>
      </w:pPr>
      <w:r>
        <w:t>Minimal Risk: “The probability and magnitude of harm or discomfort anticipated in the research are not greater in and of themselves than those ordinarily encountered in daily life or during the performance of routine physical or psychological examinations or tests.” (45 CFR 46.102(i))</w:t>
      </w:r>
    </w:p>
    <w:p w:rsidR="00691AEF" w:rsidRDefault="00691AEF">
      <w:pPr>
        <w:pStyle w:val="BodyText"/>
        <w:rPr>
          <w:sz w:val="26"/>
        </w:rPr>
      </w:pPr>
    </w:p>
    <w:p w:rsidR="00691AEF" w:rsidRDefault="00691AEF">
      <w:pPr>
        <w:pStyle w:val="BodyText"/>
        <w:spacing w:before="10"/>
        <w:rPr>
          <w:sz w:val="21"/>
        </w:rPr>
      </w:pPr>
    </w:p>
    <w:p w:rsidR="00691AEF" w:rsidRDefault="00D2166B">
      <w:pPr>
        <w:pStyle w:val="Heading1"/>
        <w:spacing w:before="1"/>
        <w:jc w:val="both"/>
      </w:pPr>
      <w:r>
        <w:rPr>
          <w:u w:val="single"/>
        </w:rPr>
        <w:t>POLICY:</w:t>
      </w:r>
    </w:p>
    <w:p w:rsidR="00691AEF" w:rsidRDefault="00691AEF">
      <w:pPr>
        <w:pStyle w:val="BodyText"/>
        <w:spacing w:before="10"/>
        <w:rPr>
          <w:b/>
          <w:sz w:val="15"/>
        </w:rPr>
      </w:pPr>
    </w:p>
    <w:p w:rsidR="00691AEF" w:rsidRDefault="00D2166B">
      <w:pPr>
        <w:pStyle w:val="ListParagraph"/>
        <w:numPr>
          <w:ilvl w:val="0"/>
          <w:numId w:val="4"/>
        </w:numPr>
        <w:tabs>
          <w:tab w:val="left" w:pos="660"/>
        </w:tabs>
        <w:spacing w:before="93" w:line="275" w:lineRule="exact"/>
        <w:rPr>
          <w:sz w:val="24"/>
          <w:u w:val="none"/>
        </w:rPr>
      </w:pPr>
      <w:r>
        <w:rPr>
          <w:sz w:val="24"/>
          <w:u w:val="none"/>
        </w:rPr>
        <w:t>Review Using Expedited Review</w:t>
      </w:r>
      <w:r>
        <w:rPr>
          <w:spacing w:val="-2"/>
          <w:sz w:val="24"/>
          <w:u w:val="none"/>
        </w:rPr>
        <w:t xml:space="preserve"> </w:t>
      </w:r>
      <w:r>
        <w:rPr>
          <w:sz w:val="24"/>
          <w:u w:val="none"/>
        </w:rPr>
        <w:t>Procedures</w:t>
      </w:r>
    </w:p>
    <w:p w:rsidR="00691AEF" w:rsidRDefault="00D2166B">
      <w:pPr>
        <w:pStyle w:val="ListParagraph"/>
        <w:numPr>
          <w:ilvl w:val="1"/>
          <w:numId w:val="4"/>
        </w:numPr>
        <w:tabs>
          <w:tab w:val="left" w:pos="1380"/>
        </w:tabs>
        <w:ind w:right="589"/>
        <w:jc w:val="both"/>
        <w:rPr>
          <w:sz w:val="24"/>
          <w:u w:val="none"/>
        </w:rPr>
      </w:pPr>
      <w:r>
        <w:rPr>
          <w:sz w:val="24"/>
          <w:u w:val="none"/>
        </w:rPr>
        <w:t>Expedited review may be performed by the IRB Chair, Vice Chair, or by one or more of the experienced IRB members designated by the IRB Chair. The results must be reported at a convened IRB</w:t>
      </w:r>
      <w:r>
        <w:rPr>
          <w:spacing w:val="-1"/>
          <w:sz w:val="24"/>
          <w:u w:val="none"/>
        </w:rPr>
        <w:t xml:space="preserve"> </w:t>
      </w:r>
      <w:r>
        <w:rPr>
          <w:sz w:val="24"/>
          <w:u w:val="none"/>
        </w:rPr>
        <w:t>meeting.</w:t>
      </w:r>
    </w:p>
    <w:p w:rsidR="00691AEF" w:rsidRDefault="00D2166B">
      <w:pPr>
        <w:pStyle w:val="ListParagraph"/>
        <w:numPr>
          <w:ilvl w:val="1"/>
          <w:numId w:val="4"/>
        </w:numPr>
        <w:tabs>
          <w:tab w:val="left" w:pos="1380"/>
        </w:tabs>
        <w:ind w:right="479"/>
        <w:jc w:val="both"/>
        <w:rPr>
          <w:sz w:val="24"/>
          <w:u w:val="none"/>
        </w:rPr>
      </w:pPr>
      <w:r>
        <w:rPr>
          <w:sz w:val="24"/>
          <w:u w:val="none"/>
        </w:rPr>
        <w:t>In</w:t>
      </w:r>
      <w:r>
        <w:rPr>
          <w:spacing w:val="-4"/>
          <w:sz w:val="24"/>
          <w:u w:val="none"/>
        </w:rPr>
        <w:t xml:space="preserve"> </w:t>
      </w:r>
      <w:r>
        <w:rPr>
          <w:sz w:val="24"/>
          <w:u w:val="none"/>
        </w:rPr>
        <w:t>reviewing</w:t>
      </w:r>
      <w:r>
        <w:rPr>
          <w:spacing w:val="-4"/>
          <w:sz w:val="24"/>
          <w:u w:val="none"/>
        </w:rPr>
        <w:t xml:space="preserve"> </w:t>
      </w:r>
      <w:r>
        <w:rPr>
          <w:sz w:val="24"/>
          <w:u w:val="none"/>
        </w:rPr>
        <w:t>the</w:t>
      </w:r>
      <w:r>
        <w:rPr>
          <w:spacing w:val="-4"/>
          <w:sz w:val="24"/>
          <w:u w:val="none"/>
        </w:rPr>
        <w:t xml:space="preserve"> </w:t>
      </w:r>
      <w:r>
        <w:rPr>
          <w:sz w:val="24"/>
          <w:u w:val="none"/>
        </w:rPr>
        <w:t>research,</w:t>
      </w:r>
      <w:r>
        <w:rPr>
          <w:spacing w:val="-4"/>
          <w:sz w:val="24"/>
          <w:u w:val="none"/>
        </w:rPr>
        <w:t xml:space="preserve"> </w:t>
      </w:r>
      <w:r>
        <w:rPr>
          <w:sz w:val="24"/>
          <w:u w:val="none"/>
        </w:rPr>
        <w:t>the</w:t>
      </w:r>
      <w:r>
        <w:rPr>
          <w:spacing w:val="-4"/>
          <w:sz w:val="24"/>
          <w:u w:val="none"/>
        </w:rPr>
        <w:t xml:space="preserve"> </w:t>
      </w:r>
      <w:r>
        <w:rPr>
          <w:sz w:val="24"/>
          <w:u w:val="none"/>
        </w:rPr>
        <w:t>reviewers</w:t>
      </w:r>
      <w:r>
        <w:rPr>
          <w:spacing w:val="-4"/>
          <w:sz w:val="24"/>
          <w:u w:val="none"/>
        </w:rPr>
        <w:t xml:space="preserve"> </w:t>
      </w:r>
      <w:r>
        <w:rPr>
          <w:sz w:val="24"/>
          <w:u w:val="none"/>
        </w:rPr>
        <w:t>may</w:t>
      </w:r>
      <w:r>
        <w:rPr>
          <w:spacing w:val="-4"/>
          <w:sz w:val="24"/>
          <w:u w:val="none"/>
        </w:rPr>
        <w:t xml:space="preserve"> </w:t>
      </w:r>
      <w:r>
        <w:rPr>
          <w:sz w:val="24"/>
          <w:u w:val="none"/>
        </w:rPr>
        <w:t>exercise</w:t>
      </w:r>
      <w:r>
        <w:rPr>
          <w:spacing w:val="-4"/>
          <w:sz w:val="24"/>
          <w:u w:val="none"/>
        </w:rPr>
        <w:t xml:space="preserve"> </w:t>
      </w:r>
      <w:r>
        <w:rPr>
          <w:sz w:val="24"/>
          <w:u w:val="none"/>
        </w:rPr>
        <w:t>all</w:t>
      </w:r>
      <w:r>
        <w:rPr>
          <w:spacing w:val="-3"/>
          <w:sz w:val="24"/>
          <w:u w:val="none"/>
        </w:rPr>
        <w:t xml:space="preserve"> </w:t>
      </w:r>
      <w:r>
        <w:rPr>
          <w:sz w:val="24"/>
          <w:u w:val="none"/>
        </w:rPr>
        <w:t>of</w:t>
      </w:r>
      <w:r>
        <w:rPr>
          <w:spacing w:val="-4"/>
          <w:sz w:val="24"/>
          <w:u w:val="none"/>
        </w:rPr>
        <w:t xml:space="preserve"> </w:t>
      </w:r>
      <w:r>
        <w:rPr>
          <w:sz w:val="24"/>
          <w:u w:val="none"/>
        </w:rPr>
        <w:t>the</w:t>
      </w:r>
      <w:r>
        <w:rPr>
          <w:spacing w:val="-4"/>
          <w:sz w:val="24"/>
          <w:u w:val="none"/>
        </w:rPr>
        <w:t xml:space="preserve"> </w:t>
      </w:r>
      <w:r>
        <w:rPr>
          <w:sz w:val="24"/>
          <w:u w:val="none"/>
        </w:rPr>
        <w:t>authorities</w:t>
      </w:r>
      <w:r>
        <w:rPr>
          <w:spacing w:val="-4"/>
          <w:sz w:val="24"/>
          <w:u w:val="none"/>
        </w:rPr>
        <w:t xml:space="preserve"> </w:t>
      </w:r>
      <w:r>
        <w:rPr>
          <w:sz w:val="24"/>
          <w:u w:val="none"/>
        </w:rPr>
        <w:t>of</w:t>
      </w:r>
      <w:r>
        <w:rPr>
          <w:spacing w:val="-4"/>
          <w:sz w:val="24"/>
          <w:u w:val="none"/>
        </w:rPr>
        <w:t xml:space="preserve"> </w:t>
      </w:r>
      <w:r>
        <w:rPr>
          <w:sz w:val="24"/>
          <w:u w:val="none"/>
        </w:rPr>
        <w:t>the</w:t>
      </w:r>
      <w:r>
        <w:rPr>
          <w:spacing w:val="-4"/>
          <w:sz w:val="24"/>
          <w:u w:val="none"/>
        </w:rPr>
        <w:t xml:space="preserve"> </w:t>
      </w:r>
      <w:r>
        <w:rPr>
          <w:sz w:val="24"/>
          <w:u w:val="none"/>
        </w:rPr>
        <w:t>IRB</w:t>
      </w:r>
      <w:r>
        <w:rPr>
          <w:spacing w:val="-4"/>
          <w:sz w:val="24"/>
          <w:u w:val="none"/>
        </w:rPr>
        <w:t xml:space="preserve"> </w:t>
      </w:r>
      <w:r>
        <w:rPr>
          <w:sz w:val="24"/>
          <w:u w:val="none"/>
        </w:rPr>
        <w:t>except that they may not disapprove the research. A research study may be disapproved only after full board</w:t>
      </w:r>
      <w:r>
        <w:rPr>
          <w:spacing w:val="-1"/>
          <w:sz w:val="24"/>
          <w:u w:val="none"/>
        </w:rPr>
        <w:t xml:space="preserve"> </w:t>
      </w:r>
      <w:r>
        <w:rPr>
          <w:sz w:val="24"/>
          <w:u w:val="none"/>
        </w:rPr>
        <w:t>review.</w:t>
      </w:r>
    </w:p>
    <w:p w:rsidR="00691AEF" w:rsidRDefault="00D2166B">
      <w:pPr>
        <w:pStyle w:val="ListParagraph"/>
        <w:numPr>
          <w:ilvl w:val="1"/>
          <w:numId w:val="4"/>
        </w:numPr>
        <w:tabs>
          <w:tab w:val="left" w:pos="1379"/>
          <w:tab w:val="left" w:pos="1380"/>
        </w:tabs>
        <w:spacing w:line="275" w:lineRule="exact"/>
        <w:rPr>
          <w:sz w:val="24"/>
          <w:u w:val="none"/>
        </w:rPr>
      </w:pPr>
      <w:r>
        <w:rPr>
          <w:sz w:val="24"/>
          <w:u w:val="none"/>
        </w:rPr>
        <w:t>The IRB may use the expedited review procedure to review either or both of the</w:t>
      </w:r>
      <w:r>
        <w:rPr>
          <w:spacing w:val="-32"/>
          <w:sz w:val="24"/>
          <w:u w:val="none"/>
        </w:rPr>
        <w:t xml:space="preserve"> </w:t>
      </w:r>
      <w:r>
        <w:rPr>
          <w:sz w:val="24"/>
          <w:u w:val="none"/>
        </w:rPr>
        <w:t>following:</w:t>
      </w:r>
    </w:p>
    <w:p w:rsidR="00691AEF" w:rsidRDefault="00D2166B">
      <w:pPr>
        <w:pStyle w:val="ListParagraph"/>
        <w:numPr>
          <w:ilvl w:val="2"/>
          <w:numId w:val="4"/>
        </w:numPr>
        <w:tabs>
          <w:tab w:val="left" w:pos="2100"/>
        </w:tabs>
        <w:spacing w:before="1"/>
        <w:ind w:right="798"/>
        <w:rPr>
          <w:sz w:val="24"/>
          <w:u w:val="none"/>
        </w:rPr>
      </w:pPr>
      <w:r>
        <w:rPr>
          <w:sz w:val="24"/>
          <w:u w:val="none"/>
        </w:rPr>
        <w:t>Research involving no more than minimal risk and which the only involvement of human subjects will be in one or more categories described in section 2</w:t>
      </w:r>
      <w:r>
        <w:rPr>
          <w:spacing w:val="-37"/>
          <w:sz w:val="24"/>
          <w:u w:val="none"/>
        </w:rPr>
        <w:t xml:space="preserve"> </w:t>
      </w:r>
      <w:r>
        <w:rPr>
          <w:sz w:val="24"/>
          <w:u w:val="none"/>
        </w:rPr>
        <w:t>below.</w:t>
      </w:r>
    </w:p>
    <w:p w:rsidR="00691AEF" w:rsidRDefault="00D2166B">
      <w:pPr>
        <w:pStyle w:val="ListParagraph"/>
        <w:numPr>
          <w:ilvl w:val="2"/>
          <w:numId w:val="4"/>
        </w:numPr>
        <w:tabs>
          <w:tab w:val="left" w:pos="2100"/>
        </w:tabs>
        <w:ind w:right="261" w:hanging="322"/>
        <w:rPr>
          <w:sz w:val="24"/>
          <w:u w:val="none"/>
        </w:rPr>
      </w:pPr>
      <w:r>
        <w:rPr>
          <w:sz w:val="24"/>
          <w:u w:val="none"/>
        </w:rPr>
        <w:lastRenderedPageBreak/>
        <w:t>Minor changes in previously approved research during the period for which approval is authorized. For purposes of this section, “minor changes” means any change in the materials or related documents of a research study that (a) would not affect the IRB’s assessment of risks and benefits to subjects; (b) is a specified change in wording</w:t>
      </w:r>
      <w:r>
        <w:rPr>
          <w:spacing w:val="-25"/>
          <w:sz w:val="24"/>
          <w:u w:val="none"/>
        </w:rPr>
        <w:t xml:space="preserve"> </w:t>
      </w:r>
      <w:r>
        <w:rPr>
          <w:sz w:val="24"/>
          <w:u w:val="none"/>
        </w:rPr>
        <w:t>that</w:t>
      </w:r>
    </w:p>
    <w:p w:rsidR="00691AEF" w:rsidRDefault="00691AEF">
      <w:pPr>
        <w:rPr>
          <w:sz w:val="24"/>
        </w:rPr>
        <w:sectPr w:rsidR="00691AEF">
          <w:footerReference w:type="default" r:id="rId7"/>
          <w:type w:val="continuous"/>
          <w:pgSz w:w="12240" w:h="15840"/>
          <w:pgMar w:top="1360" w:right="1220" w:bottom="1520" w:left="1140" w:header="720" w:footer="1338" w:gutter="0"/>
          <w:pgNumType w:start="1"/>
          <w:cols w:space="720"/>
        </w:sectPr>
      </w:pPr>
    </w:p>
    <w:p w:rsidR="00691AEF" w:rsidRDefault="00D2166B">
      <w:pPr>
        <w:pStyle w:val="BodyText"/>
        <w:spacing w:before="79"/>
        <w:ind w:left="2099" w:right="944"/>
      </w:pPr>
      <w:r>
        <w:lastRenderedPageBreak/>
        <w:t>has been agreed to by the IRB; or (c) is a change or clarification that has been specifically described by the IRB.</w:t>
      </w:r>
    </w:p>
    <w:p w:rsidR="00691AEF" w:rsidRDefault="00D2166B">
      <w:pPr>
        <w:pStyle w:val="ListParagraph"/>
        <w:numPr>
          <w:ilvl w:val="1"/>
          <w:numId w:val="4"/>
        </w:numPr>
        <w:tabs>
          <w:tab w:val="left" w:pos="1380"/>
        </w:tabs>
        <w:ind w:right="228"/>
        <w:rPr>
          <w:sz w:val="24"/>
          <w:u w:val="none"/>
        </w:rPr>
      </w:pPr>
      <w:r>
        <w:rPr>
          <w:sz w:val="24"/>
          <w:u w:val="none"/>
        </w:rPr>
        <w:t>Research should not be deemed to be of minimal risk simply because it is included on the list. Inclusion on the list merely means that the activity is eligible for review through the expedited review</w:t>
      </w:r>
      <w:r>
        <w:rPr>
          <w:spacing w:val="-6"/>
          <w:sz w:val="24"/>
          <w:u w:val="none"/>
        </w:rPr>
        <w:t xml:space="preserve"> </w:t>
      </w:r>
      <w:r>
        <w:rPr>
          <w:sz w:val="24"/>
          <w:u w:val="none"/>
        </w:rPr>
        <w:t>procedures</w:t>
      </w:r>
      <w:r>
        <w:rPr>
          <w:spacing w:val="-5"/>
          <w:sz w:val="24"/>
          <w:u w:val="none"/>
        </w:rPr>
        <w:t xml:space="preserve"> </w:t>
      </w:r>
      <w:r>
        <w:rPr>
          <w:sz w:val="24"/>
          <w:u w:val="none"/>
        </w:rPr>
        <w:t>when</w:t>
      </w:r>
      <w:r>
        <w:rPr>
          <w:spacing w:val="-5"/>
          <w:sz w:val="24"/>
          <w:u w:val="none"/>
        </w:rPr>
        <w:t xml:space="preserve"> </w:t>
      </w:r>
      <w:r>
        <w:rPr>
          <w:sz w:val="24"/>
          <w:u w:val="none"/>
        </w:rPr>
        <w:t>the</w:t>
      </w:r>
      <w:r>
        <w:rPr>
          <w:spacing w:val="-5"/>
          <w:sz w:val="24"/>
          <w:u w:val="none"/>
        </w:rPr>
        <w:t xml:space="preserve"> </w:t>
      </w:r>
      <w:r>
        <w:rPr>
          <w:sz w:val="24"/>
          <w:u w:val="none"/>
        </w:rPr>
        <w:t>specific</w:t>
      </w:r>
      <w:r>
        <w:rPr>
          <w:spacing w:val="-5"/>
          <w:sz w:val="24"/>
          <w:u w:val="none"/>
        </w:rPr>
        <w:t xml:space="preserve"> </w:t>
      </w:r>
      <w:r>
        <w:rPr>
          <w:sz w:val="24"/>
          <w:u w:val="none"/>
        </w:rPr>
        <w:t>circumstances</w:t>
      </w:r>
      <w:r>
        <w:rPr>
          <w:spacing w:val="-5"/>
          <w:sz w:val="24"/>
          <w:u w:val="none"/>
        </w:rPr>
        <w:t xml:space="preserve"> </w:t>
      </w:r>
      <w:r>
        <w:rPr>
          <w:sz w:val="24"/>
          <w:u w:val="none"/>
        </w:rPr>
        <w:t>of</w:t>
      </w:r>
      <w:r>
        <w:rPr>
          <w:spacing w:val="-5"/>
          <w:sz w:val="24"/>
          <w:u w:val="none"/>
        </w:rPr>
        <w:t xml:space="preserve"> </w:t>
      </w:r>
      <w:r>
        <w:rPr>
          <w:sz w:val="24"/>
          <w:u w:val="none"/>
        </w:rPr>
        <w:t>the</w:t>
      </w:r>
      <w:r>
        <w:rPr>
          <w:spacing w:val="-6"/>
          <w:sz w:val="24"/>
          <w:u w:val="none"/>
        </w:rPr>
        <w:t xml:space="preserve"> </w:t>
      </w:r>
      <w:r>
        <w:rPr>
          <w:sz w:val="24"/>
          <w:u w:val="none"/>
        </w:rPr>
        <w:t>proposed</w:t>
      </w:r>
      <w:r>
        <w:rPr>
          <w:spacing w:val="-5"/>
          <w:sz w:val="24"/>
          <w:u w:val="none"/>
        </w:rPr>
        <w:t xml:space="preserve"> </w:t>
      </w:r>
      <w:r>
        <w:rPr>
          <w:sz w:val="24"/>
          <w:u w:val="none"/>
        </w:rPr>
        <w:t>research</w:t>
      </w:r>
      <w:r>
        <w:rPr>
          <w:spacing w:val="-5"/>
          <w:sz w:val="24"/>
          <w:u w:val="none"/>
        </w:rPr>
        <w:t xml:space="preserve"> </w:t>
      </w:r>
      <w:r>
        <w:rPr>
          <w:sz w:val="24"/>
          <w:u w:val="none"/>
        </w:rPr>
        <w:t>involves</w:t>
      </w:r>
      <w:r>
        <w:rPr>
          <w:spacing w:val="-5"/>
          <w:sz w:val="24"/>
          <w:u w:val="none"/>
        </w:rPr>
        <w:t xml:space="preserve"> </w:t>
      </w:r>
      <w:r>
        <w:rPr>
          <w:sz w:val="24"/>
          <w:u w:val="none"/>
        </w:rPr>
        <w:t>no</w:t>
      </w:r>
      <w:r>
        <w:rPr>
          <w:spacing w:val="-5"/>
          <w:sz w:val="24"/>
          <w:u w:val="none"/>
        </w:rPr>
        <w:t xml:space="preserve"> </w:t>
      </w:r>
      <w:r>
        <w:rPr>
          <w:sz w:val="24"/>
          <w:u w:val="none"/>
        </w:rPr>
        <w:t>more than minimal risk to human</w:t>
      </w:r>
      <w:r>
        <w:rPr>
          <w:spacing w:val="-2"/>
          <w:sz w:val="24"/>
          <w:u w:val="none"/>
        </w:rPr>
        <w:t xml:space="preserve"> </w:t>
      </w:r>
      <w:r>
        <w:rPr>
          <w:sz w:val="24"/>
          <w:u w:val="none"/>
        </w:rPr>
        <w:t>subjects.</w:t>
      </w:r>
    </w:p>
    <w:p w:rsidR="00691AEF" w:rsidRDefault="00D2166B">
      <w:pPr>
        <w:pStyle w:val="ListParagraph"/>
        <w:numPr>
          <w:ilvl w:val="1"/>
          <w:numId w:val="4"/>
        </w:numPr>
        <w:tabs>
          <w:tab w:val="left" w:pos="1380"/>
        </w:tabs>
        <w:ind w:right="224"/>
        <w:rPr>
          <w:sz w:val="24"/>
          <w:u w:val="none"/>
        </w:rPr>
      </w:pPr>
      <w:r>
        <w:rPr>
          <w:sz w:val="24"/>
          <w:u w:val="none"/>
        </w:rPr>
        <w:t>Expedited review procedures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w:t>
      </w:r>
      <w:r>
        <w:rPr>
          <w:spacing w:val="-8"/>
          <w:sz w:val="24"/>
          <w:u w:val="none"/>
        </w:rPr>
        <w:t xml:space="preserve"> </w:t>
      </w:r>
      <w:r>
        <w:rPr>
          <w:sz w:val="24"/>
          <w:u w:val="none"/>
        </w:rPr>
        <w:t>minimal.</w:t>
      </w:r>
    </w:p>
    <w:p w:rsidR="00691AEF" w:rsidRDefault="00D2166B">
      <w:pPr>
        <w:pStyle w:val="ListParagraph"/>
        <w:numPr>
          <w:ilvl w:val="1"/>
          <w:numId w:val="4"/>
        </w:numPr>
        <w:tabs>
          <w:tab w:val="left" w:pos="1379"/>
          <w:tab w:val="left" w:pos="1380"/>
        </w:tabs>
        <w:spacing w:line="275" w:lineRule="exact"/>
        <w:rPr>
          <w:sz w:val="24"/>
          <w:u w:val="none"/>
        </w:rPr>
      </w:pPr>
      <w:r>
        <w:rPr>
          <w:sz w:val="24"/>
          <w:u w:val="none"/>
        </w:rPr>
        <w:t>Expedited review procedures may not be used for research involving</w:t>
      </w:r>
      <w:r>
        <w:rPr>
          <w:spacing w:val="-15"/>
          <w:sz w:val="24"/>
          <w:u w:val="none"/>
        </w:rPr>
        <w:t xml:space="preserve"> </w:t>
      </w:r>
      <w:r>
        <w:rPr>
          <w:sz w:val="24"/>
          <w:u w:val="none"/>
        </w:rPr>
        <w:t>prisoners.</w:t>
      </w:r>
    </w:p>
    <w:p w:rsidR="00691AEF" w:rsidRDefault="00D2166B">
      <w:pPr>
        <w:pStyle w:val="ListParagraph"/>
        <w:numPr>
          <w:ilvl w:val="1"/>
          <w:numId w:val="4"/>
        </w:numPr>
        <w:tabs>
          <w:tab w:val="left" w:pos="1380"/>
        </w:tabs>
        <w:spacing w:before="1"/>
        <w:ind w:right="413"/>
        <w:rPr>
          <w:sz w:val="24"/>
          <w:u w:val="none"/>
        </w:rPr>
      </w:pPr>
      <w:r>
        <w:rPr>
          <w:sz w:val="24"/>
          <w:u w:val="none"/>
        </w:rPr>
        <w:t>IRB</w:t>
      </w:r>
      <w:r>
        <w:rPr>
          <w:spacing w:val="-4"/>
          <w:sz w:val="24"/>
          <w:u w:val="none"/>
        </w:rPr>
        <w:t xml:space="preserve"> </w:t>
      </w:r>
      <w:r>
        <w:rPr>
          <w:sz w:val="24"/>
          <w:u w:val="none"/>
        </w:rPr>
        <w:t>members</w:t>
      </w:r>
      <w:r>
        <w:rPr>
          <w:spacing w:val="-4"/>
          <w:sz w:val="24"/>
          <w:u w:val="none"/>
        </w:rPr>
        <w:t xml:space="preserve"> </w:t>
      </w:r>
      <w:r>
        <w:rPr>
          <w:sz w:val="24"/>
          <w:u w:val="none"/>
        </w:rPr>
        <w:t>shall</w:t>
      </w:r>
      <w:r>
        <w:rPr>
          <w:spacing w:val="-3"/>
          <w:sz w:val="24"/>
          <w:u w:val="none"/>
        </w:rPr>
        <w:t xml:space="preserve"> </w:t>
      </w:r>
      <w:r>
        <w:rPr>
          <w:sz w:val="24"/>
          <w:u w:val="none"/>
        </w:rPr>
        <w:t>be</w:t>
      </w:r>
      <w:r>
        <w:rPr>
          <w:spacing w:val="-4"/>
          <w:sz w:val="24"/>
          <w:u w:val="none"/>
        </w:rPr>
        <w:t xml:space="preserve"> </w:t>
      </w:r>
      <w:r>
        <w:rPr>
          <w:sz w:val="24"/>
          <w:u w:val="none"/>
        </w:rPr>
        <w:t>apprised</w:t>
      </w:r>
      <w:r>
        <w:rPr>
          <w:spacing w:val="-4"/>
          <w:sz w:val="24"/>
          <w:u w:val="none"/>
        </w:rPr>
        <w:t xml:space="preserve"> </w:t>
      </w:r>
      <w:r>
        <w:rPr>
          <w:sz w:val="24"/>
          <w:u w:val="none"/>
        </w:rPr>
        <w:t>of</w:t>
      </w:r>
      <w:r>
        <w:rPr>
          <w:spacing w:val="-3"/>
          <w:sz w:val="24"/>
          <w:u w:val="none"/>
        </w:rPr>
        <w:t xml:space="preserve"> </w:t>
      </w:r>
      <w:r>
        <w:rPr>
          <w:sz w:val="24"/>
          <w:u w:val="none"/>
        </w:rPr>
        <w:t>research</w:t>
      </w:r>
      <w:r>
        <w:rPr>
          <w:spacing w:val="-4"/>
          <w:sz w:val="24"/>
          <w:u w:val="none"/>
        </w:rPr>
        <w:t xml:space="preserve"> </w:t>
      </w:r>
      <w:r>
        <w:rPr>
          <w:sz w:val="24"/>
          <w:u w:val="none"/>
        </w:rPr>
        <w:t>studies</w:t>
      </w:r>
      <w:r>
        <w:rPr>
          <w:spacing w:val="-4"/>
          <w:sz w:val="24"/>
          <w:u w:val="none"/>
        </w:rPr>
        <w:t xml:space="preserve"> </w:t>
      </w:r>
      <w:r>
        <w:rPr>
          <w:sz w:val="24"/>
          <w:u w:val="none"/>
        </w:rPr>
        <w:t>that</w:t>
      </w:r>
      <w:r>
        <w:rPr>
          <w:spacing w:val="-3"/>
          <w:sz w:val="24"/>
          <w:u w:val="none"/>
        </w:rPr>
        <w:t xml:space="preserve"> </w:t>
      </w:r>
      <w:r>
        <w:rPr>
          <w:sz w:val="24"/>
          <w:u w:val="none"/>
        </w:rPr>
        <w:t>have</w:t>
      </w:r>
      <w:r>
        <w:rPr>
          <w:spacing w:val="-4"/>
          <w:sz w:val="24"/>
          <w:u w:val="none"/>
        </w:rPr>
        <w:t xml:space="preserve"> </w:t>
      </w:r>
      <w:r>
        <w:rPr>
          <w:sz w:val="24"/>
          <w:u w:val="none"/>
        </w:rPr>
        <w:t>been</w:t>
      </w:r>
      <w:r>
        <w:rPr>
          <w:spacing w:val="-4"/>
          <w:sz w:val="24"/>
          <w:u w:val="none"/>
        </w:rPr>
        <w:t xml:space="preserve"> </w:t>
      </w:r>
      <w:r>
        <w:rPr>
          <w:sz w:val="24"/>
          <w:u w:val="none"/>
        </w:rPr>
        <w:t>expedited</w:t>
      </w:r>
      <w:r>
        <w:rPr>
          <w:spacing w:val="-3"/>
          <w:sz w:val="24"/>
          <w:u w:val="none"/>
        </w:rPr>
        <w:t xml:space="preserve"> </w:t>
      </w:r>
      <w:r>
        <w:rPr>
          <w:sz w:val="24"/>
          <w:u w:val="none"/>
        </w:rPr>
        <w:t>at</w:t>
      </w:r>
      <w:r>
        <w:rPr>
          <w:spacing w:val="-4"/>
          <w:sz w:val="24"/>
          <w:u w:val="none"/>
        </w:rPr>
        <w:t xml:space="preserve"> </w:t>
      </w:r>
      <w:r>
        <w:rPr>
          <w:sz w:val="24"/>
          <w:u w:val="none"/>
        </w:rPr>
        <w:t>the</w:t>
      </w:r>
      <w:r>
        <w:rPr>
          <w:spacing w:val="-4"/>
          <w:sz w:val="24"/>
          <w:u w:val="none"/>
        </w:rPr>
        <w:t xml:space="preserve"> </w:t>
      </w:r>
      <w:r>
        <w:rPr>
          <w:sz w:val="24"/>
          <w:u w:val="none"/>
        </w:rPr>
        <w:t>next</w:t>
      </w:r>
      <w:r>
        <w:rPr>
          <w:spacing w:val="-3"/>
          <w:sz w:val="24"/>
          <w:u w:val="none"/>
        </w:rPr>
        <w:t xml:space="preserve"> </w:t>
      </w:r>
      <w:r>
        <w:rPr>
          <w:sz w:val="24"/>
          <w:u w:val="none"/>
        </w:rPr>
        <w:t>IRB meeting, and the same will be noted in the IRB meeting minutes along with a citation to the regulatory authority justifying the expedited</w:t>
      </w:r>
      <w:r>
        <w:rPr>
          <w:spacing w:val="-3"/>
          <w:sz w:val="24"/>
          <w:u w:val="none"/>
        </w:rPr>
        <w:t xml:space="preserve"> </w:t>
      </w:r>
      <w:r>
        <w:rPr>
          <w:sz w:val="24"/>
          <w:u w:val="none"/>
        </w:rPr>
        <w:t>review.</w:t>
      </w:r>
    </w:p>
    <w:p w:rsidR="00691AEF" w:rsidRDefault="00D2166B">
      <w:pPr>
        <w:pStyle w:val="ListParagraph"/>
        <w:numPr>
          <w:ilvl w:val="1"/>
          <w:numId w:val="4"/>
        </w:numPr>
        <w:tabs>
          <w:tab w:val="left" w:pos="1380"/>
        </w:tabs>
        <w:ind w:right="534"/>
        <w:rPr>
          <w:sz w:val="24"/>
          <w:u w:val="none"/>
        </w:rPr>
      </w:pPr>
      <w:r>
        <w:rPr>
          <w:sz w:val="24"/>
          <w:u w:val="none"/>
        </w:rPr>
        <w:t>If</w:t>
      </w:r>
      <w:r>
        <w:rPr>
          <w:spacing w:val="-4"/>
          <w:sz w:val="24"/>
          <w:u w:val="none"/>
        </w:rPr>
        <w:t xml:space="preserve"> </w:t>
      </w:r>
      <w:r>
        <w:rPr>
          <w:sz w:val="24"/>
          <w:u w:val="none"/>
        </w:rPr>
        <w:t>there</w:t>
      </w:r>
      <w:r>
        <w:rPr>
          <w:spacing w:val="-4"/>
          <w:sz w:val="24"/>
          <w:u w:val="none"/>
        </w:rPr>
        <w:t xml:space="preserve"> </w:t>
      </w:r>
      <w:r>
        <w:rPr>
          <w:sz w:val="24"/>
          <w:u w:val="none"/>
        </w:rPr>
        <w:t>is</w:t>
      </w:r>
      <w:r>
        <w:rPr>
          <w:spacing w:val="-4"/>
          <w:sz w:val="24"/>
          <w:u w:val="none"/>
        </w:rPr>
        <w:t xml:space="preserve"> </w:t>
      </w:r>
      <w:r>
        <w:rPr>
          <w:sz w:val="24"/>
          <w:u w:val="none"/>
        </w:rPr>
        <w:t>any</w:t>
      </w:r>
      <w:r>
        <w:rPr>
          <w:spacing w:val="-4"/>
          <w:sz w:val="24"/>
          <w:u w:val="none"/>
        </w:rPr>
        <w:t xml:space="preserve"> </w:t>
      </w:r>
      <w:r>
        <w:rPr>
          <w:sz w:val="24"/>
          <w:u w:val="none"/>
        </w:rPr>
        <w:t>doubt</w:t>
      </w:r>
      <w:r>
        <w:rPr>
          <w:spacing w:val="-5"/>
          <w:sz w:val="24"/>
          <w:u w:val="none"/>
        </w:rPr>
        <w:t xml:space="preserve"> </w:t>
      </w:r>
      <w:r>
        <w:rPr>
          <w:sz w:val="24"/>
          <w:u w:val="none"/>
        </w:rPr>
        <w:t>about</w:t>
      </w:r>
      <w:r>
        <w:rPr>
          <w:spacing w:val="-4"/>
          <w:sz w:val="24"/>
          <w:u w:val="none"/>
        </w:rPr>
        <w:t xml:space="preserve"> </w:t>
      </w:r>
      <w:r>
        <w:rPr>
          <w:sz w:val="24"/>
          <w:u w:val="none"/>
        </w:rPr>
        <w:t>the</w:t>
      </w:r>
      <w:r>
        <w:rPr>
          <w:spacing w:val="-4"/>
          <w:sz w:val="24"/>
          <w:u w:val="none"/>
        </w:rPr>
        <w:t xml:space="preserve"> </w:t>
      </w:r>
      <w:r>
        <w:rPr>
          <w:sz w:val="24"/>
          <w:u w:val="none"/>
        </w:rPr>
        <w:t>appropriateness</w:t>
      </w:r>
      <w:r>
        <w:rPr>
          <w:spacing w:val="-4"/>
          <w:sz w:val="24"/>
          <w:u w:val="none"/>
        </w:rPr>
        <w:t xml:space="preserve"> </w:t>
      </w:r>
      <w:r>
        <w:rPr>
          <w:sz w:val="24"/>
          <w:u w:val="none"/>
        </w:rPr>
        <w:t>of</w:t>
      </w:r>
      <w:r>
        <w:rPr>
          <w:spacing w:val="-4"/>
          <w:sz w:val="24"/>
          <w:u w:val="none"/>
        </w:rPr>
        <w:t xml:space="preserve"> </w:t>
      </w:r>
      <w:r>
        <w:rPr>
          <w:sz w:val="24"/>
          <w:u w:val="none"/>
        </w:rPr>
        <w:t>expedited</w:t>
      </w:r>
      <w:r>
        <w:rPr>
          <w:spacing w:val="-4"/>
          <w:sz w:val="24"/>
          <w:u w:val="none"/>
        </w:rPr>
        <w:t xml:space="preserve"> </w:t>
      </w:r>
      <w:r>
        <w:rPr>
          <w:sz w:val="24"/>
          <w:u w:val="none"/>
        </w:rPr>
        <w:t>review,</w:t>
      </w:r>
      <w:r>
        <w:rPr>
          <w:spacing w:val="-4"/>
          <w:sz w:val="24"/>
          <w:u w:val="none"/>
        </w:rPr>
        <w:t xml:space="preserve"> </w:t>
      </w:r>
      <w:r>
        <w:rPr>
          <w:sz w:val="24"/>
          <w:u w:val="none"/>
        </w:rPr>
        <w:t>full</w:t>
      </w:r>
      <w:r>
        <w:rPr>
          <w:spacing w:val="-4"/>
          <w:sz w:val="24"/>
          <w:u w:val="none"/>
        </w:rPr>
        <w:t xml:space="preserve"> </w:t>
      </w:r>
      <w:r>
        <w:rPr>
          <w:sz w:val="24"/>
          <w:u w:val="none"/>
        </w:rPr>
        <w:t>board</w:t>
      </w:r>
      <w:r>
        <w:rPr>
          <w:spacing w:val="-4"/>
          <w:sz w:val="24"/>
          <w:u w:val="none"/>
        </w:rPr>
        <w:t xml:space="preserve"> </w:t>
      </w:r>
      <w:r>
        <w:rPr>
          <w:sz w:val="24"/>
          <w:u w:val="none"/>
        </w:rPr>
        <w:t>review</w:t>
      </w:r>
      <w:r>
        <w:rPr>
          <w:spacing w:val="-4"/>
          <w:sz w:val="24"/>
          <w:u w:val="none"/>
        </w:rPr>
        <w:t xml:space="preserve"> </w:t>
      </w:r>
      <w:r>
        <w:rPr>
          <w:sz w:val="24"/>
          <w:u w:val="none"/>
        </w:rPr>
        <w:t>will</w:t>
      </w:r>
      <w:r>
        <w:rPr>
          <w:spacing w:val="-4"/>
          <w:sz w:val="24"/>
          <w:u w:val="none"/>
        </w:rPr>
        <w:t xml:space="preserve"> </w:t>
      </w:r>
      <w:r>
        <w:rPr>
          <w:sz w:val="24"/>
          <w:u w:val="none"/>
        </w:rPr>
        <w:t>be performed.</w:t>
      </w:r>
    </w:p>
    <w:p w:rsidR="00691AEF" w:rsidRDefault="00691AEF">
      <w:pPr>
        <w:pStyle w:val="BodyText"/>
      </w:pPr>
    </w:p>
    <w:p w:rsidR="00691AEF" w:rsidRDefault="00D2166B">
      <w:pPr>
        <w:pStyle w:val="ListParagraph"/>
        <w:numPr>
          <w:ilvl w:val="0"/>
          <w:numId w:val="4"/>
        </w:numPr>
        <w:tabs>
          <w:tab w:val="left" w:pos="660"/>
        </w:tabs>
        <w:ind w:right="576"/>
        <w:rPr>
          <w:sz w:val="24"/>
          <w:u w:val="none"/>
        </w:rPr>
      </w:pPr>
      <w:r>
        <w:rPr>
          <w:sz w:val="24"/>
          <w:u w:val="none"/>
        </w:rPr>
        <w:t>Expedited</w:t>
      </w:r>
      <w:r>
        <w:rPr>
          <w:spacing w:val="-6"/>
          <w:sz w:val="24"/>
          <w:u w:val="none"/>
        </w:rPr>
        <w:t xml:space="preserve"> </w:t>
      </w:r>
      <w:r>
        <w:rPr>
          <w:sz w:val="24"/>
          <w:u w:val="none"/>
        </w:rPr>
        <w:t>Review</w:t>
      </w:r>
      <w:r>
        <w:rPr>
          <w:spacing w:val="-5"/>
          <w:sz w:val="24"/>
          <w:u w:val="none"/>
        </w:rPr>
        <w:t xml:space="preserve"> </w:t>
      </w:r>
      <w:r>
        <w:rPr>
          <w:sz w:val="24"/>
          <w:u w:val="none"/>
        </w:rPr>
        <w:t>Categories</w:t>
      </w:r>
      <w:r>
        <w:rPr>
          <w:spacing w:val="-5"/>
          <w:sz w:val="24"/>
          <w:u w:val="none"/>
        </w:rPr>
        <w:t xml:space="preserve"> </w:t>
      </w:r>
      <w:r>
        <w:rPr>
          <w:sz w:val="24"/>
          <w:u w:val="none"/>
        </w:rPr>
        <w:t>(Note:</w:t>
      </w:r>
      <w:r>
        <w:rPr>
          <w:spacing w:val="-5"/>
          <w:sz w:val="24"/>
          <w:u w:val="none"/>
        </w:rPr>
        <w:t xml:space="preserve"> </w:t>
      </w:r>
      <w:r>
        <w:rPr>
          <w:sz w:val="24"/>
          <w:u w:val="none"/>
        </w:rPr>
        <w:t>Categories</w:t>
      </w:r>
      <w:r>
        <w:rPr>
          <w:spacing w:val="-5"/>
          <w:sz w:val="24"/>
          <w:u w:val="none"/>
        </w:rPr>
        <w:t xml:space="preserve"> </w:t>
      </w:r>
      <w:r>
        <w:rPr>
          <w:sz w:val="24"/>
          <w:u w:val="none"/>
        </w:rPr>
        <w:t>(1)</w:t>
      </w:r>
      <w:r>
        <w:rPr>
          <w:spacing w:val="-7"/>
          <w:sz w:val="24"/>
          <w:u w:val="none"/>
        </w:rPr>
        <w:t xml:space="preserve"> </w:t>
      </w:r>
      <w:r>
        <w:rPr>
          <w:sz w:val="24"/>
          <w:u w:val="none"/>
        </w:rPr>
        <w:t>through</w:t>
      </w:r>
      <w:r>
        <w:rPr>
          <w:spacing w:val="-5"/>
          <w:sz w:val="24"/>
          <w:u w:val="none"/>
        </w:rPr>
        <w:t xml:space="preserve"> </w:t>
      </w:r>
      <w:r>
        <w:rPr>
          <w:sz w:val="24"/>
          <w:u w:val="none"/>
        </w:rPr>
        <w:t>(7)</w:t>
      </w:r>
      <w:r>
        <w:rPr>
          <w:spacing w:val="-5"/>
          <w:sz w:val="24"/>
          <w:u w:val="none"/>
        </w:rPr>
        <w:t xml:space="preserve"> </w:t>
      </w:r>
      <w:r>
        <w:rPr>
          <w:sz w:val="24"/>
          <w:u w:val="none"/>
        </w:rPr>
        <w:t>pertain</w:t>
      </w:r>
      <w:r>
        <w:rPr>
          <w:spacing w:val="-5"/>
          <w:sz w:val="24"/>
          <w:u w:val="none"/>
        </w:rPr>
        <w:t xml:space="preserve"> </w:t>
      </w:r>
      <w:r>
        <w:rPr>
          <w:sz w:val="24"/>
          <w:u w:val="none"/>
        </w:rPr>
        <w:t>to</w:t>
      </w:r>
      <w:r>
        <w:rPr>
          <w:spacing w:val="-5"/>
          <w:sz w:val="24"/>
          <w:u w:val="none"/>
        </w:rPr>
        <w:t xml:space="preserve"> </w:t>
      </w:r>
      <w:r>
        <w:rPr>
          <w:sz w:val="24"/>
          <w:u w:val="none"/>
        </w:rPr>
        <w:t>both</w:t>
      </w:r>
      <w:r>
        <w:rPr>
          <w:spacing w:val="-5"/>
          <w:sz w:val="24"/>
          <w:u w:val="none"/>
        </w:rPr>
        <w:t xml:space="preserve"> </w:t>
      </w:r>
      <w:r>
        <w:rPr>
          <w:sz w:val="24"/>
          <w:u w:val="none"/>
        </w:rPr>
        <w:t>initial</w:t>
      </w:r>
      <w:r>
        <w:rPr>
          <w:spacing w:val="-6"/>
          <w:sz w:val="24"/>
          <w:u w:val="none"/>
        </w:rPr>
        <w:t xml:space="preserve"> </w:t>
      </w:r>
      <w:r>
        <w:rPr>
          <w:sz w:val="24"/>
          <w:u w:val="none"/>
        </w:rPr>
        <w:t>and</w:t>
      </w:r>
      <w:r>
        <w:rPr>
          <w:spacing w:val="-5"/>
          <w:sz w:val="24"/>
          <w:u w:val="none"/>
        </w:rPr>
        <w:t xml:space="preserve"> </w:t>
      </w:r>
      <w:r>
        <w:rPr>
          <w:sz w:val="24"/>
          <w:u w:val="none"/>
        </w:rPr>
        <w:t>continuing review)</w:t>
      </w:r>
    </w:p>
    <w:p w:rsidR="00691AEF" w:rsidRDefault="00D2166B">
      <w:pPr>
        <w:pStyle w:val="ListParagraph"/>
        <w:numPr>
          <w:ilvl w:val="1"/>
          <w:numId w:val="4"/>
        </w:numPr>
        <w:tabs>
          <w:tab w:val="left" w:pos="1380"/>
        </w:tabs>
        <w:ind w:right="556"/>
        <w:rPr>
          <w:sz w:val="24"/>
          <w:u w:val="none"/>
        </w:rPr>
      </w:pPr>
      <w:r>
        <w:rPr>
          <w:sz w:val="24"/>
        </w:rPr>
        <w:t>Category 1:</w:t>
      </w:r>
      <w:r>
        <w:rPr>
          <w:sz w:val="24"/>
          <w:u w:val="none"/>
        </w:rPr>
        <w:t xml:space="preserve"> Clinical studies of drugs and medical devices only when condition (a) or (b) is met. (a) Research on drugs for which an investigational new drug application (21 CFR</w:t>
      </w:r>
      <w:r>
        <w:rPr>
          <w:spacing w:val="-2"/>
          <w:sz w:val="24"/>
          <w:u w:val="none"/>
        </w:rPr>
        <w:t xml:space="preserve"> </w:t>
      </w:r>
      <w:r>
        <w:rPr>
          <w:sz w:val="24"/>
          <w:u w:val="none"/>
        </w:rPr>
        <w:t>Part</w:t>
      </w:r>
    </w:p>
    <w:p w:rsidR="00691AEF" w:rsidRDefault="00D2166B">
      <w:pPr>
        <w:pStyle w:val="BodyText"/>
        <w:ind w:left="1380" w:right="317"/>
      </w:pPr>
      <w:r>
        <w:t>312) is not required. (Note: Research on marketed drugs that significantly increases the risks or decreases the acceptability of the risks associated with the use of the product is not eligible for expedited review.) (b) Research on medical devices for which (i) an investigational device exemption application (21 CFR Part 812) is not required; or (ii) the medical device is cleared/approved with its cleared/approved labeling.</w:t>
      </w:r>
    </w:p>
    <w:p w:rsidR="00691AEF" w:rsidRDefault="00D2166B">
      <w:pPr>
        <w:pStyle w:val="ListParagraph"/>
        <w:numPr>
          <w:ilvl w:val="1"/>
          <w:numId w:val="4"/>
        </w:numPr>
        <w:tabs>
          <w:tab w:val="left" w:pos="1380"/>
        </w:tabs>
        <w:ind w:right="236"/>
        <w:rPr>
          <w:sz w:val="24"/>
          <w:u w:val="none"/>
        </w:rPr>
      </w:pPr>
      <w:r>
        <w:rPr>
          <w:sz w:val="24"/>
        </w:rPr>
        <w:t>Category 2:</w:t>
      </w:r>
      <w:r>
        <w:rPr>
          <w:sz w:val="24"/>
          <w:u w:val="none"/>
        </w:rPr>
        <w:t xml:space="preserve">  Collection of blood samples by finger stick, heel stick, ear stick, or venipuncture as follows: (a) from healthy, nonpregnant adults who weigh at least 110 pounds. For these subjects, the amounts drawn may not exceed 550 ml in an 8 week period and collection may not occur more frequently than 2 times per week; or (b)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w:t>
      </w:r>
      <w:r>
        <w:rPr>
          <w:spacing w:val="-9"/>
          <w:sz w:val="24"/>
          <w:u w:val="none"/>
        </w:rPr>
        <w:t xml:space="preserve"> </w:t>
      </w:r>
      <w:r>
        <w:rPr>
          <w:sz w:val="24"/>
          <w:u w:val="none"/>
        </w:rPr>
        <w:t>week.</w:t>
      </w:r>
    </w:p>
    <w:p w:rsidR="00691AEF" w:rsidRDefault="00D2166B">
      <w:pPr>
        <w:pStyle w:val="ListParagraph"/>
        <w:numPr>
          <w:ilvl w:val="1"/>
          <w:numId w:val="4"/>
        </w:numPr>
        <w:tabs>
          <w:tab w:val="left" w:pos="1379"/>
          <w:tab w:val="left" w:pos="1380"/>
        </w:tabs>
        <w:ind w:right="443"/>
        <w:rPr>
          <w:sz w:val="24"/>
          <w:u w:val="none"/>
        </w:rPr>
      </w:pPr>
      <w:r>
        <w:rPr>
          <w:sz w:val="24"/>
        </w:rPr>
        <w:t>Category 3:</w:t>
      </w:r>
      <w:r>
        <w:rPr>
          <w:sz w:val="24"/>
          <w:u w:val="none"/>
        </w:rPr>
        <w:t xml:space="preserve"> Prospective collection of biological specimens for research purposes by noninvasive means. Examples: (a) hair and nail clippings in a non-disfiguring manner; (b) deciduous</w:t>
      </w:r>
      <w:r>
        <w:rPr>
          <w:spacing w:val="-4"/>
          <w:sz w:val="24"/>
          <w:u w:val="none"/>
        </w:rPr>
        <w:t xml:space="preserve"> </w:t>
      </w:r>
      <w:r>
        <w:rPr>
          <w:sz w:val="24"/>
          <w:u w:val="none"/>
        </w:rPr>
        <w:t>teeth</w:t>
      </w:r>
      <w:r>
        <w:rPr>
          <w:spacing w:val="-3"/>
          <w:sz w:val="24"/>
          <w:u w:val="none"/>
        </w:rPr>
        <w:t xml:space="preserve"> </w:t>
      </w:r>
      <w:r>
        <w:rPr>
          <w:sz w:val="24"/>
          <w:u w:val="none"/>
        </w:rPr>
        <w:t>at</w:t>
      </w:r>
      <w:r>
        <w:rPr>
          <w:spacing w:val="-3"/>
          <w:sz w:val="24"/>
          <w:u w:val="none"/>
        </w:rPr>
        <w:t xml:space="preserve"> </w:t>
      </w:r>
      <w:r>
        <w:rPr>
          <w:sz w:val="24"/>
          <w:u w:val="none"/>
        </w:rPr>
        <w:t>time</w:t>
      </w:r>
      <w:r>
        <w:rPr>
          <w:spacing w:val="-3"/>
          <w:sz w:val="24"/>
          <w:u w:val="none"/>
        </w:rPr>
        <w:t xml:space="preserve"> </w:t>
      </w:r>
      <w:r>
        <w:rPr>
          <w:sz w:val="24"/>
          <w:u w:val="none"/>
        </w:rPr>
        <w:t>of</w:t>
      </w:r>
      <w:r>
        <w:rPr>
          <w:spacing w:val="-3"/>
          <w:sz w:val="24"/>
          <w:u w:val="none"/>
        </w:rPr>
        <w:t xml:space="preserve"> </w:t>
      </w:r>
      <w:r>
        <w:rPr>
          <w:sz w:val="24"/>
          <w:u w:val="none"/>
        </w:rPr>
        <w:t>exfoliation</w:t>
      </w:r>
      <w:r>
        <w:rPr>
          <w:spacing w:val="-3"/>
          <w:sz w:val="24"/>
          <w:u w:val="none"/>
        </w:rPr>
        <w:t xml:space="preserve"> </w:t>
      </w:r>
      <w:r>
        <w:rPr>
          <w:sz w:val="24"/>
          <w:u w:val="none"/>
        </w:rPr>
        <w:t>or</w:t>
      </w:r>
      <w:r>
        <w:rPr>
          <w:spacing w:val="-3"/>
          <w:sz w:val="24"/>
          <w:u w:val="none"/>
        </w:rPr>
        <w:t xml:space="preserve"> </w:t>
      </w:r>
      <w:r>
        <w:rPr>
          <w:sz w:val="24"/>
          <w:u w:val="none"/>
        </w:rPr>
        <w:t>if</w:t>
      </w:r>
      <w:r>
        <w:rPr>
          <w:spacing w:val="-3"/>
          <w:sz w:val="24"/>
          <w:u w:val="none"/>
        </w:rPr>
        <w:t xml:space="preserve"> </w:t>
      </w:r>
      <w:r>
        <w:rPr>
          <w:sz w:val="24"/>
          <w:u w:val="none"/>
        </w:rPr>
        <w:t>routine</w:t>
      </w:r>
      <w:r>
        <w:rPr>
          <w:spacing w:val="-3"/>
          <w:sz w:val="24"/>
          <w:u w:val="none"/>
        </w:rPr>
        <w:t xml:space="preserve"> </w:t>
      </w:r>
      <w:r>
        <w:rPr>
          <w:sz w:val="24"/>
          <w:u w:val="none"/>
        </w:rPr>
        <w:t>patient</w:t>
      </w:r>
      <w:r>
        <w:rPr>
          <w:spacing w:val="-3"/>
          <w:sz w:val="24"/>
          <w:u w:val="none"/>
        </w:rPr>
        <w:t xml:space="preserve"> </w:t>
      </w:r>
      <w:r>
        <w:rPr>
          <w:sz w:val="24"/>
          <w:u w:val="none"/>
        </w:rPr>
        <w:t>care</w:t>
      </w:r>
      <w:r>
        <w:rPr>
          <w:spacing w:val="-3"/>
          <w:sz w:val="24"/>
          <w:u w:val="none"/>
        </w:rPr>
        <w:t xml:space="preserve"> </w:t>
      </w:r>
      <w:r>
        <w:rPr>
          <w:sz w:val="24"/>
          <w:u w:val="none"/>
        </w:rPr>
        <w:t>indicates</w:t>
      </w:r>
      <w:r>
        <w:rPr>
          <w:spacing w:val="-3"/>
          <w:sz w:val="24"/>
          <w:u w:val="none"/>
        </w:rPr>
        <w:t xml:space="preserve"> </w:t>
      </w:r>
      <w:r>
        <w:rPr>
          <w:sz w:val="24"/>
          <w:u w:val="none"/>
        </w:rPr>
        <w:t>a</w:t>
      </w:r>
      <w:r>
        <w:rPr>
          <w:spacing w:val="-4"/>
          <w:sz w:val="24"/>
          <w:u w:val="none"/>
        </w:rPr>
        <w:t xml:space="preserve"> </w:t>
      </w:r>
      <w:r>
        <w:rPr>
          <w:sz w:val="24"/>
          <w:u w:val="none"/>
        </w:rPr>
        <w:t>need</w:t>
      </w:r>
      <w:r>
        <w:rPr>
          <w:spacing w:val="-3"/>
          <w:sz w:val="24"/>
          <w:u w:val="none"/>
        </w:rPr>
        <w:t xml:space="preserve"> </w:t>
      </w:r>
      <w:r>
        <w:rPr>
          <w:sz w:val="24"/>
          <w:u w:val="none"/>
        </w:rPr>
        <w:t>for</w:t>
      </w:r>
      <w:r>
        <w:rPr>
          <w:spacing w:val="-3"/>
          <w:sz w:val="24"/>
          <w:u w:val="none"/>
        </w:rPr>
        <w:t xml:space="preserve"> </w:t>
      </w:r>
      <w:r>
        <w:rPr>
          <w:sz w:val="24"/>
          <w:u w:val="none"/>
        </w:rPr>
        <w:t>extraction;</w:t>
      </w:r>
    </w:p>
    <w:p w:rsidR="00691AEF" w:rsidRDefault="00D2166B">
      <w:pPr>
        <w:pStyle w:val="BodyText"/>
        <w:ind w:left="1380" w:right="303"/>
      </w:pPr>
      <w:r>
        <w:lastRenderedPageBreak/>
        <w:t>(c)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w:t>
      </w:r>
    </w:p>
    <w:p w:rsidR="00691AEF" w:rsidRDefault="00691AEF">
      <w:pPr>
        <w:sectPr w:rsidR="00691AEF">
          <w:pgSz w:w="12240" w:h="15840"/>
          <w:pgMar w:top="1360" w:right="1220" w:bottom="1520" w:left="1140" w:header="0" w:footer="1338" w:gutter="0"/>
          <w:cols w:space="720"/>
        </w:sectPr>
      </w:pPr>
    </w:p>
    <w:p w:rsidR="00691AEF" w:rsidRDefault="00D2166B">
      <w:pPr>
        <w:pStyle w:val="BodyText"/>
        <w:spacing w:before="79"/>
        <w:ind w:left="1380" w:right="395"/>
      </w:pPr>
      <w:r>
        <w:lastRenderedPageBreak/>
        <w:t>prophylactic techniques; (i) mucosal and skin cells collected by buccal scraping or swab, skin swab, or mouth washings; (j) sputum collected after saline mist nebulization.</w:t>
      </w:r>
    </w:p>
    <w:p w:rsidR="00691AEF" w:rsidRDefault="00D2166B">
      <w:pPr>
        <w:pStyle w:val="ListParagraph"/>
        <w:numPr>
          <w:ilvl w:val="1"/>
          <w:numId w:val="4"/>
        </w:numPr>
        <w:tabs>
          <w:tab w:val="left" w:pos="1380"/>
        </w:tabs>
        <w:ind w:right="377"/>
        <w:rPr>
          <w:sz w:val="24"/>
          <w:u w:val="none"/>
        </w:rPr>
      </w:pPr>
      <w:r>
        <w:rPr>
          <w:sz w:val="24"/>
        </w:rPr>
        <w:t>Category 4:</w:t>
      </w:r>
      <w:r>
        <w:rPr>
          <w:sz w:val="24"/>
          <w:u w:val="none"/>
        </w:rPr>
        <w:t xml:space="preserve">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w:t>
      </w:r>
      <w:r>
        <w:rPr>
          <w:spacing w:val="-6"/>
          <w:sz w:val="24"/>
          <w:u w:val="none"/>
        </w:rPr>
        <w:t xml:space="preserve"> </w:t>
      </w:r>
      <w:r>
        <w:rPr>
          <w:sz w:val="24"/>
          <w:u w:val="none"/>
        </w:rPr>
        <w:t>individual.</w:t>
      </w:r>
    </w:p>
    <w:p w:rsidR="00691AEF" w:rsidRDefault="00D2166B">
      <w:pPr>
        <w:pStyle w:val="ListParagraph"/>
        <w:numPr>
          <w:ilvl w:val="1"/>
          <w:numId w:val="4"/>
        </w:numPr>
        <w:tabs>
          <w:tab w:val="left" w:pos="1380"/>
        </w:tabs>
        <w:ind w:right="642"/>
        <w:rPr>
          <w:sz w:val="24"/>
          <w:u w:val="none"/>
        </w:rPr>
      </w:pPr>
      <w:r>
        <w:rPr>
          <w:sz w:val="24"/>
        </w:rPr>
        <w:t>Category 5:</w:t>
      </w:r>
      <w:r>
        <w:rPr>
          <w:sz w:val="24"/>
          <w:u w:val="none"/>
        </w:rPr>
        <w:t xml:space="preserve"> 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45 CFR 46.101(b)(4). [See </w:t>
      </w:r>
      <w:r w:rsidR="00823C4C">
        <w:rPr>
          <w:sz w:val="24"/>
          <w:u w:val="none"/>
        </w:rPr>
        <w:t xml:space="preserve">Hospital </w:t>
      </w:r>
      <w:r>
        <w:rPr>
          <w:sz w:val="24"/>
          <w:u w:val="none"/>
        </w:rPr>
        <w:t>“Exempt Research” policy] This listing refers only to research that is not</w:t>
      </w:r>
      <w:r>
        <w:rPr>
          <w:spacing w:val="-15"/>
          <w:sz w:val="24"/>
          <w:u w:val="none"/>
        </w:rPr>
        <w:t xml:space="preserve"> </w:t>
      </w:r>
      <w:r>
        <w:rPr>
          <w:sz w:val="24"/>
          <w:u w:val="none"/>
        </w:rPr>
        <w:t>exempt.)</w:t>
      </w:r>
    </w:p>
    <w:p w:rsidR="00691AEF" w:rsidRDefault="00D2166B">
      <w:pPr>
        <w:pStyle w:val="ListParagraph"/>
        <w:numPr>
          <w:ilvl w:val="1"/>
          <w:numId w:val="4"/>
        </w:numPr>
        <w:tabs>
          <w:tab w:val="left" w:pos="1379"/>
          <w:tab w:val="left" w:pos="1380"/>
        </w:tabs>
        <w:ind w:right="1000"/>
        <w:rPr>
          <w:sz w:val="24"/>
          <w:u w:val="none"/>
        </w:rPr>
      </w:pPr>
      <w:r>
        <w:rPr>
          <w:sz w:val="24"/>
        </w:rPr>
        <w:t>Category 6:</w:t>
      </w:r>
      <w:r>
        <w:rPr>
          <w:sz w:val="24"/>
          <w:u w:val="none"/>
        </w:rPr>
        <w:t xml:space="preserve"> Collection of data from voice, video, digital, or image recordings made for research purposes.</w:t>
      </w:r>
    </w:p>
    <w:p w:rsidR="00691AEF" w:rsidRDefault="00D2166B">
      <w:pPr>
        <w:pStyle w:val="ListParagraph"/>
        <w:numPr>
          <w:ilvl w:val="1"/>
          <w:numId w:val="4"/>
        </w:numPr>
        <w:tabs>
          <w:tab w:val="left" w:pos="1380"/>
        </w:tabs>
        <w:ind w:right="424"/>
        <w:rPr>
          <w:sz w:val="24"/>
          <w:u w:val="none"/>
        </w:rPr>
      </w:pPr>
      <w:r>
        <w:rPr>
          <w:sz w:val="24"/>
        </w:rPr>
        <w:t>Category 7:</w:t>
      </w:r>
      <w:r>
        <w:rPr>
          <w:sz w:val="24"/>
          <w:u w:val="none"/>
        </w:rPr>
        <w:t xml:space="preserve"> Research on individual or group characteristics or behavior (including, but not limited to, research on perception, cognition, motivation, identity, language, communication, cultural beliefs or practices, and social behavior) or research employing survey, interview, oral</w:t>
      </w:r>
      <w:r>
        <w:rPr>
          <w:spacing w:val="-6"/>
          <w:sz w:val="24"/>
          <w:u w:val="none"/>
        </w:rPr>
        <w:t xml:space="preserve"> </w:t>
      </w:r>
      <w:r>
        <w:rPr>
          <w:sz w:val="24"/>
          <w:u w:val="none"/>
        </w:rPr>
        <w:t>history,</w:t>
      </w:r>
      <w:r>
        <w:rPr>
          <w:spacing w:val="-6"/>
          <w:sz w:val="24"/>
          <w:u w:val="none"/>
        </w:rPr>
        <w:t xml:space="preserve"> </w:t>
      </w:r>
      <w:r>
        <w:rPr>
          <w:sz w:val="24"/>
          <w:u w:val="none"/>
        </w:rPr>
        <w:t>focus</w:t>
      </w:r>
      <w:r>
        <w:rPr>
          <w:spacing w:val="-6"/>
          <w:sz w:val="24"/>
          <w:u w:val="none"/>
        </w:rPr>
        <w:t xml:space="preserve"> </w:t>
      </w:r>
      <w:r>
        <w:rPr>
          <w:sz w:val="24"/>
          <w:u w:val="none"/>
        </w:rPr>
        <w:t>group,</w:t>
      </w:r>
      <w:r>
        <w:rPr>
          <w:spacing w:val="-6"/>
          <w:sz w:val="24"/>
          <w:u w:val="none"/>
        </w:rPr>
        <w:t xml:space="preserve"> </w:t>
      </w:r>
      <w:r>
        <w:rPr>
          <w:sz w:val="24"/>
          <w:u w:val="none"/>
        </w:rPr>
        <w:t>program</w:t>
      </w:r>
      <w:r>
        <w:rPr>
          <w:spacing w:val="-5"/>
          <w:sz w:val="24"/>
          <w:u w:val="none"/>
        </w:rPr>
        <w:t xml:space="preserve"> </w:t>
      </w:r>
      <w:r>
        <w:rPr>
          <w:sz w:val="24"/>
          <w:u w:val="none"/>
        </w:rPr>
        <w:t>evaluation,</w:t>
      </w:r>
      <w:r>
        <w:rPr>
          <w:spacing w:val="-6"/>
          <w:sz w:val="24"/>
          <w:u w:val="none"/>
        </w:rPr>
        <w:t xml:space="preserve"> </w:t>
      </w:r>
      <w:r>
        <w:rPr>
          <w:sz w:val="24"/>
          <w:u w:val="none"/>
        </w:rPr>
        <w:t>human</w:t>
      </w:r>
      <w:r>
        <w:rPr>
          <w:spacing w:val="-6"/>
          <w:sz w:val="24"/>
          <w:u w:val="none"/>
        </w:rPr>
        <w:t xml:space="preserve"> </w:t>
      </w:r>
      <w:r>
        <w:rPr>
          <w:sz w:val="24"/>
          <w:u w:val="none"/>
        </w:rPr>
        <w:t>factors</w:t>
      </w:r>
      <w:r>
        <w:rPr>
          <w:spacing w:val="-6"/>
          <w:sz w:val="24"/>
          <w:u w:val="none"/>
        </w:rPr>
        <w:t xml:space="preserve"> </w:t>
      </w:r>
      <w:r>
        <w:rPr>
          <w:sz w:val="24"/>
          <w:u w:val="none"/>
        </w:rPr>
        <w:t>evaluation,</w:t>
      </w:r>
      <w:r>
        <w:rPr>
          <w:spacing w:val="-5"/>
          <w:sz w:val="24"/>
          <w:u w:val="none"/>
        </w:rPr>
        <w:t xml:space="preserve"> </w:t>
      </w:r>
      <w:r>
        <w:rPr>
          <w:sz w:val="24"/>
          <w:u w:val="none"/>
        </w:rPr>
        <w:t>or</w:t>
      </w:r>
      <w:r>
        <w:rPr>
          <w:spacing w:val="-6"/>
          <w:sz w:val="24"/>
          <w:u w:val="none"/>
        </w:rPr>
        <w:t xml:space="preserve"> </w:t>
      </w:r>
      <w:r>
        <w:rPr>
          <w:sz w:val="24"/>
          <w:u w:val="none"/>
        </w:rPr>
        <w:t>quality</w:t>
      </w:r>
      <w:r>
        <w:rPr>
          <w:spacing w:val="-6"/>
          <w:sz w:val="24"/>
          <w:u w:val="none"/>
        </w:rPr>
        <w:t xml:space="preserve"> </w:t>
      </w:r>
      <w:r>
        <w:rPr>
          <w:sz w:val="24"/>
          <w:u w:val="none"/>
        </w:rPr>
        <w:t>assurance methodologies. (NOTE: Some research in this category may be exempt from the HHS regulations for the protection of human subjects. 45 CFR 46.101(b)(2) and (b)(3). This listing refers only to research that is not exempt.) [See</w:t>
      </w:r>
      <w:r w:rsidR="00823C4C">
        <w:rPr>
          <w:sz w:val="24"/>
          <w:u w:val="none"/>
        </w:rPr>
        <w:t xml:space="preserve"> Hospital </w:t>
      </w:r>
      <w:r>
        <w:rPr>
          <w:sz w:val="24"/>
          <w:u w:val="none"/>
        </w:rPr>
        <w:t xml:space="preserve"> “Exempt Research”</w:t>
      </w:r>
      <w:r>
        <w:rPr>
          <w:spacing w:val="-14"/>
          <w:sz w:val="24"/>
          <w:u w:val="none"/>
        </w:rPr>
        <w:t xml:space="preserve"> </w:t>
      </w:r>
      <w:r>
        <w:rPr>
          <w:sz w:val="24"/>
          <w:u w:val="none"/>
        </w:rPr>
        <w:t>policy]</w:t>
      </w:r>
    </w:p>
    <w:p w:rsidR="00691AEF" w:rsidRDefault="00D2166B">
      <w:pPr>
        <w:pStyle w:val="ListParagraph"/>
        <w:numPr>
          <w:ilvl w:val="1"/>
          <w:numId w:val="4"/>
        </w:numPr>
        <w:tabs>
          <w:tab w:val="left" w:pos="1380"/>
        </w:tabs>
        <w:ind w:right="631"/>
        <w:rPr>
          <w:sz w:val="24"/>
          <w:u w:val="none"/>
        </w:rPr>
      </w:pPr>
      <w:r>
        <w:rPr>
          <w:sz w:val="24"/>
        </w:rPr>
        <w:t>Category 8:</w:t>
      </w:r>
      <w:r>
        <w:rPr>
          <w:sz w:val="24"/>
          <w:u w:val="none"/>
        </w:rPr>
        <w:t xml:space="preserve"> Continuing review of research previously approved by the convened IRB as follows:</w:t>
      </w:r>
      <w:r>
        <w:rPr>
          <w:spacing w:val="-5"/>
          <w:sz w:val="24"/>
          <w:u w:val="none"/>
        </w:rPr>
        <w:t xml:space="preserve"> </w:t>
      </w:r>
      <w:r>
        <w:rPr>
          <w:sz w:val="24"/>
          <w:u w:val="none"/>
        </w:rPr>
        <w:t>(a)</w:t>
      </w:r>
      <w:r>
        <w:rPr>
          <w:spacing w:val="-4"/>
          <w:sz w:val="24"/>
          <w:u w:val="none"/>
        </w:rPr>
        <w:t xml:space="preserve"> </w:t>
      </w:r>
      <w:r>
        <w:rPr>
          <w:sz w:val="24"/>
          <w:u w:val="none"/>
        </w:rPr>
        <w:t>where</w:t>
      </w:r>
      <w:r>
        <w:rPr>
          <w:spacing w:val="-4"/>
          <w:sz w:val="24"/>
          <w:u w:val="none"/>
        </w:rPr>
        <w:t xml:space="preserve"> </w:t>
      </w:r>
      <w:r>
        <w:rPr>
          <w:sz w:val="24"/>
          <w:u w:val="none"/>
        </w:rPr>
        <w:t>(i)</w:t>
      </w:r>
      <w:r>
        <w:rPr>
          <w:spacing w:val="-4"/>
          <w:sz w:val="24"/>
          <w:u w:val="none"/>
        </w:rPr>
        <w:t xml:space="preserve"> </w:t>
      </w:r>
      <w:r>
        <w:rPr>
          <w:sz w:val="24"/>
          <w:u w:val="none"/>
        </w:rPr>
        <w:t>the</w:t>
      </w:r>
      <w:r>
        <w:rPr>
          <w:spacing w:val="-5"/>
          <w:sz w:val="24"/>
          <w:u w:val="none"/>
        </w:rPr>
        <w:t xml:space="preserve"> </w:t>
      </w:r>
      <w:r>
        <w:rPr>
          <w:sz w:val="24"/>
          <w:u w:val="none"/>
        </w:rPr>
        <w:t>research</w:t>
      </w:r>
      <w:r>
        <w:rPr>
          <w:spacing w:val="-4"/>
          <w:sz w:val="24"/>
          <w:u w:val="none"/>
        </w:rPr>
        <w:t xml:space="preserve"> </w:t>
      </w:r>
      <w:r>
        <w:rPr>
          <w:sz w:val="24"/>
          <w:u w:val="none"/>
        </w:rPr>
        <w:t>is</w:t>
      </w:r>
      <w:r>
        <w:rPr>
          <w:spacing w:val="-4"/>
          <w:sz w:val="24"/>
          <w:u w:val="none"/>
        </w:rPr>
        <w:t xml:space="preserve"> </w:t>
      </w:r>
      <w:r>
        <w:rPr>
          <w:sz w:val="24"/>
          <w:u w:val="none"/>
        </w:rPr>
        <w:t>permanently</w:t>
      </w:r>
      <w:r>
        <w:rPr>
          <w:spacing w:val="-4"/>
          <w:sz w:val="24"/>
          <w:u w:val="none"/>
        </w:rPr>
        <w:t xml:space="preserve"> </w:t>
      </w:r>
      <w:r>
        <w:rPr>
          <w:sz w:val="24"/>
          <w:u w:val="none"/>
        </w:rPr>
        <w:t>closed</w:t>
      </w:r>
      <w:r>
        <w:rPr>
          <w:spacing w:val="-4"/>
          <w:sz w:val="24"/>
          <w:u w:val="none"/>
        </w:rPr>
        <w:t xml:space="preserve"> </w:t>
      </w:r>
      <w:r>
        <w:rPr>
          <w:sz w:val="24"/>
          <w:u w:val="none"/>
        </w:rPr>
        <w:t>to</w:t>
      </w:r>
      <w:r>
        <w:rPr>
          <w:spacing w:val="-5"/>
          <w:sz w:val="24"/>
          <w:u w:val="none"/>
        </w:rPr>
        <w:t xml:space="preserve"> </w:t>
      </w:r>
      <w:r>
        <w:rPr>
          <w:sz w:val="24"/>
          <w:u w:val="none"/>
        </w:rPr>
        <w:t>the</w:t>
      </w:r>
      <w:r>
        <w:rPr>
          <w:spacing w:val="-4"/>
          <w:sz w:val="24"/>
          <w:u w:val="none"/>
        </w:rPr>
        <w:t xml:space="preserve"> </w:t>
      </w:r>
      <w:r>
        <w:rPr>
          <w:sz w:val="24"/>
          <w:u w:val="none"/>
        </w:rPr>
        <w:t>enrollment</w:t>
      </w:r>
      <w:r>
        <w:rPr>
          <w:spacing w:val="-4"/>
          <w:sz w:val="24"/>
          <w:u w:val="none"/>
        </w:rPr>
        <w:t xml:space="preserve"> </w:t>
      </w:r>
      <w:r>
        <w:rPr>
          <w:sz w:val="24"/>
          <w:u w:val="none"/>
        </w:rPr>
        <w:t>of</w:t>
      </w:r>
      <w:r>
        <w:rPr>
          <w:spacing w:val="-4"/>
          <w:sz w:val="24"/>
          <w:u w:val="none"/>
        </w:rPr>
        <w:t xml:space="preserve"> </w:t>
      </w:r>
      <w:r>
        <w:rPr>
          <w:sz w:val="24"/>
          <w:u w:val="none"/>
        </w:rPr>
        <w:t>new</w:t>
      </w:r>
      <w:r>
        <w:rPr>
          <w:spacing w:val="-4"/>
          <w:sz w:val="24"/>
          <w:u w:val="none"/>
        </w:rPr>
        <w:t xml:space="preserve"> </w:t>
      </w:r>
      <w:r>
        <w:rPr>
          <w:sz w:val="24"/>
          <w:u w:val="none"/>
        </w:rPr>
        <w:t>subjects;</w:t>
      </w:r>
    </w:p>
    <w:p w:rsidR="00691AEF" w:rsidRDefault="00D2166B">
      <w:pPr>
        <w:pStyle w:val="BodyText"/>
        <w:ind w:left="1380" w:right="592"/>
      </w:pPr>
      <w:r>
        <w:t>(ii) all subjects have completed all research-related interventions; and (iii) the research remains active only for long-term follow-up of subjects; or (b) where no subjects have been enrolled and no additional risks have been identified; or (c) where the remaining research activities are limited to data analysis.</w:t>
      </w:r>
    </w:p>
    <w:p w:rsidR="00691AEF" w:rsidRDefault="00D2166B">
      <w:pPr>
        <w:pStyle w:val="ListParagraph"/>
        <w:numPr>
          <w:ilvl w:val="1"/>
          <w:numId w:val="4"/>
        </w:numPr>
        <w:tabs>
          <w:tab w:val="left" w:pos="1379"/>
          <w:tab w:val="left" w:pos="1380"/>
        </w:tabs>
        <w:ind w:right="425"/>
        <w:rPr>
          <w:sz w:val="24"/>
          <w:u w:val="none"/>
        </w:rPr>
      </w:pPr>
      <w:r>
        <w:rPr>
          <w:sz w:val="24"/>
        </w:rPr>
        <w:t>Category 9:</w:t>
      </w:r>
      <w:r>
        <w:rPr>
          <w:sz w:val="24"/>
          <w:u w:val="none"/>
        </w:rPr>
        <w:t xml:space="preserve"> Continuing review of research, not conducted under an </w:t>
      </w:r>
      <w:r>
        <w:rPr>
          <w:sz w:val="24"/>
          <w:u w:val="none"/>
        </w:rPr>
        <w:lastRenderedPageBreak/>
        <w:t>investigational new drug application or investigational device exemption where categories two (2) through eight (8) do not apply but the IRB has determined and documented at a convened meeting that the research</w:t>
      </w:r>
      <w:r>
        <w:rPr>
          <w:spacing w:val="-4"/>
          <w:sz w:val="24"/>
          <w:u w:val="none"/>
        </w:rPr>
        <w:t xml:space="preserve"> </w:t>
      </w:r>
      <w:r>
        <w:rPr>
          <w:sz w:val="24"/>
          <w:u w:val="none"/>
        </w:rPr>
        <w:t>involves</w:t>
      </w:r>
      <w:r>
        <w:rPr>
          <w:spacing w:val="-4"/>
          <w:sz w:val="24"/>
          <w:u w:val="none"/>
        </w:rPr>
        <w:t xml:space="preserve"> </w:t>
      </w:r>
      <w:r>
        <w:rPr>
          <w:sz w:val="24"/>
          <w:u w:val="none"/>
        </w:rPr>
        <w:t>no</w:t>
      </w:r>
      <w:r>
        <w:rPr>
          <w:spacing w:val="-4"/>
          <w:sz w:val="24"/>
          <w:u w:val="none"/>
        </w:rPr>
        <w:t xml:space="preserve"> </w:t>
      </w:r>
      <w:r>
        <w:rPr>
          <w:sz w:val="24"/>
          <w:u w:val="none"/>
        </w:rPr>
        <w:t>greater</w:t>
      </w:r>
      <w:r>
        <w:rPr>
          <w:spacing w:val="-4"/>
          <w:sz w:val="24"/>
          <w:u w:val="none"/>
        </w:rPr>
        <w:t xml:space="preserve"> </w:t>
      </w:r>
      <w:r>
        <w:rPr>
          <w:sz w:val="24"/>
          <w:u w:val="none"/>
        </w:rPr>
        <w:t>than</w:t>
      </w:r>
      <w:r>
        <w:rPr>
          <w:spacing w:val="-4"/>
          <w:sz w:val="24"/>
          <w:u w:val="none"/>
        </w:rPr>
        <w:t xml:space="preserve"> </w:t>
      </w:r>
      <w:r>
        <w:rPr>
          <w:sz w:val="24"/>
          <w:u w:val="none"/>
        </w:rPr>
        <w:t>minimal</w:t>
      </w:r>
      <w:r>
        <w:rPr>
          <w:spacing w:val="-4"/>
          <w:sz w:val="24"/>
          <w:u w:val="none"/>
        </w:rPr>
        <w:t xml:space="preserve"> </w:t>
      </w:r>
      <w:r>
        <w:rPr>
          <w:sz w:val="24"/>
          <w:u w:val="none"/>
        </w:rPr>
        <w:t>risk</w:t>
      </w:r>
      <w:r>
        <w:rPr>
          <w:spacing w:val="-4"/>
          <w:sz w:val="24"/>
          <w:u w:val="none"/>
        </w:rPr>
        <w:t xml:space="preserve"> </w:t>
      </w:r>
      <w:r>
        <w:rPr>
          <w:sz w:val="24"/>
          <w:u w:val="none"/>
        </w:rPr>
        <w:t>and</w:t>
      </w:r>
      <w:r>
        <w:rPr>
          <w:spacing w:val="-3"/>
          <w:sz w:val="24"/>
          <w:u w:val="none"/>
        </w:rPr>
        <w:t xml:space="preserve"> </w:t>
      </w:r>
      <w:r>
        <w:rPr>
          <w:sz w:val="24"/>
          <w:u w:val="none"/>
        </w:rPr>
        <w:t>no</w:t>
      </w:r>
      <w:r>
        <w:rPr>
          <w:spacing w:val="-4"/>
          <w:sz w:val="24"/>
          <w:u w:val="none"/>
        </w:rPr>
        <w:t xml:space="preserve"> </w:t>
      </w:r>
      <w:r>
        <w:rPr>
          <w:sz w:val="24"/>
          <w:u w:val="none"/>
        </w:rPr>
        <w:t>additional</w:t>
      </w:r>
      <w:r>
        <w:rPr>
          <w:spacing w:val="-4"/>
          <w:sz w:val="24"/>
          <w:u w:val="none"/>
        </w:rPr>
        <w:t xml:space="preserve"> </w:t>
      </w:r>
      <w:r>
        <w:rPr>
          <w:sz w:val="24"/>
          <w:u w:val="none"/>
        </w:rPr>
        <w:t>risks</w:t>
      </w:r>
      <w:r>
        <w:rPr>
          <w:spacing w:val="-3"/>
          <w:sz w:val="24"/>
          <w:u w:val="none"/>
        </w:rPr>
        <w:t xml:space="preserve"> </w:t>
      </w:r>
      <w:r>
        <w:rPr>
          <w:sz w:val="24"/>
          <w:u w:val="none"/>
        </w:rPr>
        <w:t>have</w:t>
      </w:r>
      <w:r>
        <w:rPr>
          <w:spacing w:val="-4"/>
          <w:sz w:val="24"/>
          <w:u w:val="none"/>
        </w:rPr>
        <w:t xml:space="preserve"> </w:t>
      </w:r>
      <w:r>
        <w:rPr>
          <w:sz w:val="24"/>
          <w:u w:val="none"/>
        </w:rPr>
        <w:t>been</w:t>
      </w:r>
      <w:r>
        <w:rPr>
          <w:spacing w:val="-4"/>
          <w:sz w:val="24"/>
          <w:u w:val="none"/>
        </w:rPr>
        <w:t xml:space="preserve"> </w:t>
      </w:r>
      <w:r>
        <w:rPr>
          <w:sz w:val="24"/>
          <w:u w:val="none"/>
        </w:rPr>
        <w:t>identified.</w:t>
      </w:r>
    </w:p>
    <w:p w:rsidR="00691AEF" w:rsidRDefault="00691AEF">
      <w:pPr>
        <w:pStyle w:val="BodyText"/>
        <w:rPr>
          <w:sz w:val="26"/>
        </w:rPr>
      </w:pPr>
    </w:p>
    <w:p w:rsidR="00691AEF" w:rsidRDefault="00691AEF">
      <w:pPr>
        <w:pStyle w:val="BodyText"/>
        <w:rPr>
          <w:sz w:val="22"/>
        </w:rPr>
      </w:pPr>
    </w:p>
    <w:p w:rsidR="00691AEF" w:rsidRDefault="00D2166B">
      <w:pPr>
        <w:pStyle w:val="Heading1"/>
      </w:pPr>
      <w:r>
        <w:rPr>
          <w:u w:val="single"/>
        </w:rPr>
        <w:t>PROCEDURES:</w:t>
      </w:r>
    </w:p>
    <w:p w:rsidR="00691AEF" w:rsidRDefault="00691AEF">
      <w:pPr>
        <w:pStyle w:val="BodyText"/>
        <w:spacing w:before="11"/>
        <w:rPr>
          <w:b/>
          <w:sz w:val="15"/>
        </w:rPr>
      </w:pPr>
    </w:p>
    <w:p w:rsidR="00691AEF" w:rsidRDefault="00D2166B">
      <w:pPr>
        <w:pStyle w:val="ListParagraph"/>
        <w:numPr>
          <w:ilvl w:val="0"/>
          <w:numId w:val="3"/>
        </w:numPr>
        <w:tabs>
          <w:tab w:val="left" w:pos="660"/>
        </w:tabs>
        <w:spacing w:before="92"/>
        <w:ind w:right="422"/>
        <w:jc w:val="both"/>
        <w:rPr>
          <w:sz w:val="24"/>
          <w:u w:val="none"/>
        </w:rPr>
      </w:pPr>
      <w:r>
        <w:rPr>
          <w:sz w:val="24"/>
          <w:u w:val="none"/>
        </w:rPr>
        <w:t xml:space="preserve">If the investigator feels that his/her research project qualifies for expedited initial review, a completed IRB </w:t>
      </w:r>
      <w:r>
        <w:rPr>
          <w:i/>
          <w:sz w:val="24"/>
          <w:u w:val="none"/>
        </w:rPr>
        <w:t xml:space="preserve">Application for Approval of Research Involving Human Participants </w:t>
      </w:r>
      <w:r>
        <w:rPr>
          <w:sz w:val="24"/>
          <w:u w:val="none"/>
        </w:rPr>
        <w:t>form along with all supporting materials should be submitted to the IRB Coordinator. If the study becomes eligible for</w:t>
      </w:r>
      <w:r>
        <w:rPr>
          <w:spacing w:val="-38"/>
          <w:sz w:val="24"/>
          <w:u w:val="none"/>
        </w:rPr>
        <w:t xml:space="preserve"> </w:t>
      </w:r>
      <w:r>
        <w:rPr>
          <w:sz w:val="24"/>
          <w:u w:val="none"/>
        </w:rPr>
        <w:t>expedited</w:t>
      </w:r>
    </w:p>
    <w:p w:rsidR="00691AEF" w:rsidRDefault="00691AEF">
      <w:pPr>
        <w:jc w:val="both"/>
        <w:rPr>
          <w:sz w:val="24"/>
        </w:rPr>
        <w:sectPr w:rsidR="00691AEF">
          <w:pgSz w:w="12240" w:h="15840"/>
          <w:pgMar w:top="1360" w:right="1220" w:bottom="1520" w:left="1140" w:header="0" w:footer="1338" w:gutter="0"/>
          <w:cols w:space="720"/>
        </w:sectPr>
      </w:pPr>
    </w:p>
    <w:p w:rsidR="00691AEF" w:rsidRDefault="00D2166B">
      <w:pPr>
        <w:pStyle w:val="BodyText"/>
        <w:spacing w:before="79"/>
        <w:ind w:left="660" w:right="513"/>
      </w:pPr>
      <w:r>
        <w:lastRenderedPageBreak/>
        <w:t xml:space="preserve">continuing review, investigators should submit a completed </w:t>
      </w:r>
      <w:r w:rsidR="00823C4C">
        <w:rPr>
          <w:i/>
        </w:rPr>
        <w:t xml:space="preserve">Hospital </w:t>
      </w:r>
      <w:r>
        <w:rPr>
          <w:i/>
        </w:rPr>
        <w:t xml:space="preserve"> IRB Continuation </w:t>
      </w:r>
      <w:r>
        <w:t>form along with the applicable supporting materials.</w:t>
      </w:r>
    </w:p>
    <w:p w:rsidR="00691AEF" w:rsidRDefault="00691AEF">
      <w:pPr>
        <w:pStyle w:val="BodyText"/>
        <w:spacing w:before="11"/>
        <w:rPr>
          <w:sz w:val="23"/>
        </w:rPr>
      </w:pPr>
    </w:p>
    <w:p w:rsidR="00691AEF" w:rsidRDefault="00D2166B">
      <w:pPr>
        <w:pStyle w:val="ListParagraph"/>
        <w:numPr>
          <w:ilvl w:val="0"/>
          <w:numId w:val="3"/>
        </w:numPr>
        <w:tabs>
          <w:tab w:val="left" w:pos="660"/>
        </w:tabs>
        <w:ind w:right="269"/>
        <w:rPr>
          <w:sz w:val="24"/>
          <w:u w:val="none"/>
        </w:rPr>
      </w:pPr>
      <w:r>
        <w:rPr>
          <w:sz w:val="24"/>
          <w:u w:val="none"/>
        </w:rPr>
        <w:t>The IRB Coordinator will forward the submission to the IRB Chair, Vice Chair or other experienced IRB member designated by the IRB Chair or Vice Chair. If the IRB Chair or designee determines that the study</w:t>
      </w:r>
      <w:r>
        <w:rPr>
          <w:spacing w:val="-4"/>
          <w:sz w:val="24"/>
          <w:u w:val="none"/>
        </w:rPr>
        <w:t xml:space="preserve"> </w:t>
      </w:r>
      <w:r>
        <w:rPr>
          <w:sz w:val="24"/>
          <w:u w:val="none"/>
        </w:rPr>
        <w:t>is</w:t>
      </w:r>
      <w:r>
        <w:rPr>
          <w:spacing w:val="-3"/>
          <w:sz w:val="24"/>
          <w:u w:val="none"/>
        </w:rPr>
        <w:t xml:space="preserve"> </w:t>
      </w:r>
      <w:r>
        <w:rPr>
          <w:sz w:val="24"/>
          <w:u w:val="none"/>
        </w:rPr>
        <w:t>not</w:t>
      </w:r>
      <w:r>
        <w:rPr>
          <w:spacing w:val="-3"/>
          <w:sz w:val="24"/>
          <w:u w:val="none"/>
        </w:rPr>
        <w:t xml:space="preserve"> </w:t>
      </w:r>
      <w:r>
        <w:rPr>
          <w:sz w:val="24"/>
          <w:u w:val="none"/>
        </w:rPr>
        <w:t>eligible</w:t>
      </w:r>
      <w:r>
        <w:rPr>
          <w:spacing w:val="-3"/>
          <w:sz w:val="24"/>
          <w:u w:val="none"/>
        </w:rPr>
        <w:t xml:space="preserve"> </w:t>
      </w:r>
      <w:r>
        <w:rPr>
          <w:sz w:val="24"/>
          <w:u w:val="none"/>
        </w:rPr>
        <w:t>for</w:t>
      </w:r>
      <w:r>
        <w:rPr>
          <w:spacing w:val="-3"/>
          <w:sz w:val="24"/>
          <w:u w:val="none"/>
        </w:rPr>
        <w:t xml:space="preserve"> </w:t>
      </w:r>
      <w:r>
        <w:rPr>
          <w:sz w:val="24"/>
          <w:u w:val="none"/>
        </w:rPr>
        <w:t>expedited</w:t>
      </w:r>
      <w:r>
        <w:rPr>
          <w:spacing w:val="-3"/>
          <w:sz w:val="24"/>
          <w:u w:val="none"/>
        </w:rPr>
        <w:t xml:space="preserve"> </w:t>
      </w:r>
      <w:r>
        <w:rPr>
          <w:sz w:val="24"/>
          <w:u w:val="none"/>
        </w:rPr>
        <w:t>review,</w:t>
      </w:r>
      <w:r>
        <w:rPr>
          <w:spacing w:val="-3"/>
          <w:sz w:val="24"/>
          <w:u w:val="none"/>
        </w:rPr>
        <w:t xml:space="preserve"> </w:t>
      </w:r>
      <w:r>
        <w:rPr>
          <w:sz w:val="24"/>
          <w:u w:val="none"/>
        </w:rPr>
        <w:t>the</w:t>
      </w:r>
      <w:r>
        <w:rPr>
          <w:spacing w:val="-3"/>
          <w:sz w:val="24"/>
          <w:u w:val="none"/>
        </w:rPr>
        <w:t xml:space="preserve"> </w:t>
      </w:r>
      <w:r>
        <w:rPr>
          <w:sz w:val="24"/>
          <w:u w:val="none"/>
        </w:rPr>
        <w:t>study</w:t>
      </w:r>
      <w:r>
        <w:rPr>
          <w:spacing w:val="-5"/>
          <w:sz w:val="24"/>
          <w:u w:val="none"/>
        </w:rPr>
        <w:t xml:space="preserve"> </w:t>
      </w:r>
      <w:r>
        <w:rPr>
          <w:sz w:val="24"/>
          <w:u w:val="none"/>
        </w:rPr>
        <w:t>will</w:t>
      </w:r>
      <w:r>
        <w:rPr>
          <w:spacing w:val="-3"/>
          <w:sz w:val="24"/>
          <w:u w:val="none"/>
        </w:rPr>
        <w:t xml:space="preserve"> </w:t>
      </w:r>
      <w:r>
        <w:rPr>
          <w:sz w:val="24"/>
          <w:u w:val="none"/>
        </w:rPr>
        <w:t>be</w:t>
      </w:r>
      <w:r>
        <w:rPr>
          <w:spacing w:val="-3"/>
          <w:sz w:val="24"/>
          <w:u w:val="none"/>
        </w:rPr>
        <w:t xml:space="preserve"> </w:t>
      </w:r>
      <w:r>
        <w:rPr>
          <w:sz w:val="24"/>
          <w:u w:val="none"/>
        </w:rPr>
        <w:t>sent</w:t>
      </w:r>
      <w:r>
        <w:rPr>
          <w:spacing w:val="-3"/>
          <w:sz w:val="24"/>
          <w:u w:val="none"/>
        </w:rPr>
        <w:t xml:space="preserve"> </w:t>
      </w:r>
      <w:r>
        <w:rPr>
          <w:sz w:val="24"/>
          <w:u w:val="none"/>
        </w:rPr>
        <w:t>to</w:t>
      </w:r>
      <w:r>
        <w:rPr>
          <w:spacing w:val="-3"/>
          <w:sz w:val="24"/>
          <w:u w:val="none"/>
        </w:rPr>
        <w:t xml:space="preserve"> </w:t>
      </w:r>
      <w:r>
        <w:rPr>
          <w:sz w:val="24"/>
          <w:u w:val="none"/>
        </w:rPr>
        <w:t>the</w:t>
      </w:r>
      <w:r>
        <w:rPr>
          <w:spacing w:val="-3"/>
          <w:sz w:val="24"/>
          <w:u w:val="none"/>
        </w:rPr>
        <w:t xml:space="preserve"> </w:t>
      </w:r>
      <w:r>
        <w:rPr>
          <w:sz w:val="24"/>
          <w:u w:val="none"/>
        </w:rPr>
        <w:t>full</w:t>
      </w:r>
      <w:r>
        <w:rPr>
          <w:spacing w:val="-3"/>
          <w:sz w:val="24"/>
          <w:u w:val="none"/>
        </w:rPr>
        <w:t xml:space="preserve"> </w:t>
      </w:r>
      <w:r>
        <w:rPr>
          <w:sz w:val="24"/>
          <w:u w:val="none"/>
        </w:rPr>
        <w:t>IRB;</w:t>
      </w:r>
      <w:r>
        <w:rPr>
          <w:spacing w:val="-3"/>
          <w:sz w:val="24"/>
          <w:u w:val="none"/>
        </w:rPr>
        <w:t xml:space="preserve"> </w:t>
      </w:r>
      <w:r>
        <w:rPr>
          <w:sz w:val="24"/>
          <w:u w:val="none"/>
        </w:rPr>
        <w:t>there</w:t>
      </w:r>
      <w:r>
        <w:rPr>
          <w:spacing w:val="-3"/>
          <w:sz w:val="24"/>
          <w:u w:val="none"/>
        </w:rPr>
        <w:t xml:space="preserve"> </w:t>
      </w:r>
      <w:r>
        <w:rPr>
          <w:sz w:val="24"/>
          <w:u w:val="none"/>
        </w:rPr>
        <w:t>will</w:t>
      </w:r>
      <w:r>
        <w:rPr>
          <w:spacing w:val="-3"/>
          <w:sz w:val="24"/>
          <w:u w:val="none"/>
        </w:rPr>
        <w:t xml:space="preserve"> </w:t>
      </w:r>
      <w:r>
        <w:rPr>
          <w:sz w:val="24"/>
          <w:u w:val="none"/>
        </w:rPr>
        <w:t>be</w:t>
      </w:r>
      <w:r>
        <w:rPr>
          <w:spacing w:val="-3"/>
          <w:sz w:val="24"/>
          <w:u w:val="none"/>
        </w:rPr>
        <w:t xml:space="preserve"> </w:t>
      </w:r>
      <w:r>
        <w:rPr>
          <w:sz w:val="24"/>
          <w:u w:val="none"/>
        </w:rPr>
        <w:t>no</w:t>
      </w:r>
      <w:r>
        <w:rPr>
          <w:spacing w:val="-3"/>
          <w:sz w:val="24"/>
          <w:u w:val="none"/>
        </w:rPr>
        <w:t xml:space="preserve"> </w:t>
      </w:r>
      <w:r>
        <w:rPr>
          <w:sz w:val="24"/>
          <w:u w:val="none"/>
        </w:rPr>
        <w:t>appeal</w:t>
      </w:r>
      <w:r>
        <w:rPr>
          <w:spacing w:val="-3"/>
          <w:sz w:val="24"/>
          <w:u w:val="none"/>
        </w:rPr>
        <w:t xml:space="preserve"> </w:t>
      </w:r>
      <w:r>
        <w:rPr>
          <w:sz w:val="24"/>
          <w:u w:val="none"/>
        </w:rPr>
        <w:t>of this</w:t>
      </w:r>
      <w:r>
        <w:rPr>
          <w:spacing w:val="-1"/>
          <w:sz w:val="24"/>
          <w:u w:val="none"/>
        </w:rPr>
        <w:t xml:space="preserve"> </w:t>
      </w:r>
      <w:r>
        <w:rPr>
          <w:sz w:val="24"/>
          <w:u w:val="none"/>
        </w:rPr>
        <w:t>decision.</w:t>
      </w:r>
    </w:p>
    <w:p w:rsidR="00691AEF" w:rsidRDefault="00691AEF">
      <w:pPr>
        <w:pStyle w:val="BodyText"/>
        <w:spacing w:before="1"/>
      </w:pPr>
    </w:p>
    <w:p w:rsidR="00691AEF" w:rsidRDefault="00D2166B">
      <w:pPr>
        <w:pStyle w:val="ListParagraph"/>
        <w:numPr>
          <w:ilvl w:val="0"/>
          <w:numId w:val="3"/>
        </w:numPr>
        <w:tabs>
          <w:tab w:val="left" w:pos="660"/>
        </w:tabs>
        <w:ind w:right="281"/>
        <w:rPr>
          <w:sz w:val="24"/>
          <w:u w:val="none"/>
        </w:rPr>
      </w:pPr>
      <w:r>
        <w:rPr>
          <w:sz w:val="24"/>
          <w:u w:val="none"/>
        </w:rPr>
        <w:t>Research studies approved through expedited review will be included on the agenda of the next IRB meeting</w:t>
      </w:r>
      <w:r>
        <w:rPr>
          <w:spacing w:val="-5"/>
          <w:sz w:val="24"/>
          <w:u w:val="none"/>
        </w:rPr>
        <w:t xml:space="preserve"> </w:t>
      </w:r>
      <w:r>
        <w:rPr>
          <w:sz w:val="24"/>
          <w:u w:val="none"/>
        </w:rPr>
        <w:t>and</w:t>
      </w:r>
      <w:r>
        <w:rPr>
          <w:spacing w:val="-5"/>
          <w:sz w:val="24"/>
          <w:u w:val="none"/>
        </w:rPr>
        <w:t xml:space="preserve"> </w:t>
      </w:r>
      <w:r>
        <w:rPr>
          <w:sz w:val="24"/>
          <w:u w:val="none"/>
        </w:rPr>
        <w:t>will</w:t>
      </w:r>
      <w:r>
        <w:rPr>
          <w:spacing w:val="-4"/>
          <w:sz w:val="24"/>
          <w:u w:val="none"/>
        </w:rPr>
        <w:t xml:space="preserve"> </w:t>
      </w:r>
      <w:r>
        <w:rPr>
          <w:sz w:val="24"/>
          <w:u w:val="none"/>
        </w:rPr>
        <w:t>include</w:t>
      </w:r>
      <w:r>
        <w:rPr>
          <w:spacing w:val="-5"/>
          <w:sz w:val="24"/>
          <w:u w:val="none"/>
        </w:rPr>
        <w:t xml:space="preserve"> </w:t>
      </w:r>
      <w:r>
        <w:rPr>
          <w:sz w:val="24"/>
          <w:u w:val="none"/>
        </w:rPr>
        <w:t>the</w:t>
      </w:r>
      <w:r>
        <w:rPr>
          <w:spacing w:val="-5"/>
          <w:sz w:val="24"/>
          <w:u w:val="none"/>
        </w:rPr>
        <w:t xml:space="preserve"> </w:t>
      </w:r>
      <w:r>
        <w:rPr>
          <w:sz w:val="24"/>
          <w:u w:val="none"/>
        </w:rPr>
        <w:t>regulatory</w:t>
      </w:r>
      <w:r>
        <w:rPr>
          <w:spacing w:val="-4"/>
          <w:sz w:val="24"/>
          <w:u w:val="none"/>
        </w:rPr>
        <w:t xml:space="preserve"> </w:t>
      </w:r>
      <w:r>
        <w:rPr>
          <w:sz w:val="24"/>
          <w:u w:val="none"/>
        </w:rPr>
        <w:t>authority</w:t>
      </w:r>
      <w:r>
        <w:rPr>
          <w:spacing w:val="-5"/>
          <w:sz w:val="24"/>
          <w:u w:val="none"/>
        </w:rPr>
        <w:t xml:space="preserve"> </w:t>
      </w:r>
      <w:r>
        <w:rPr>
          <w:sz w:val="24"/>
          <w:u w:val="none"/>
        </w:rPr>
        <w:t>(i.e.,</w:t>
      </w:r>
      <w:r>
        <w:rPr>
          <w:spacing w:val="-5"/>
          <w:sz w:val="24"/>
          <w:u w:val="none"/>
        </w:rPr>
        <w:t xml:space="preserve"> </w:t>
      </w:r>
      <w:r>
        <w:rPr>
          <w:sz w:val="24"/>
          <w:u w:val="none"/>
        </w:rPr>
        <w:t>applicable</w:t>
      </w:r>
      <w:r>
        <w:rPr>
          <w:spacing w:val="-4"/>
          <w:sz w:val="24"/>
          <w:u w:val="none"/>
        </w:rPr>
        <w:t xml:space="preserve"> </w:t>
      </w:r>
      <w:r>
        <w:rPr>
          <w:sz w:val="24"/>
          <w:u w:val="none"/>
        </w:rPr>
        <w:t>category</w:t>
      </w:r>
      <w:r>
        <w:rPr>
          <w:spacing w:val="-5"/>
          <w:sz w:val="24"/>
          <w:u w:val="none"/>
        </w:rPr>
        <w:t xml:space="preserve"> </w:t>
      </w:r>
      <w:r>
        <w:rPr>
          <w:sz w:val="24"/>
          <w:u w:val="none"/>
        </w:rPr>
        <w:t>or</w:t>
      </w:r>
      <w:r>
        <w:rPr>
          <w:spacing w:val="-5"/>
          <w:sz w:val="24"/>
          <w:u w:val="none"/>
        </w:rPr>
        <w:t xml:space="preserve"> </w:t>
      </w:r>
      <w:r>
        <w:rPr>
          <w:sz w:val="24"/>
          <w:u w:val="none"/>
        </w:rPr>
        <w:t>categories</w:t>
      </w:r>
      <w:r>
        <w:rPr>
          <w:spacing w:val="-4"/>
          <w:sz w:val="24"/>
          <w:u w:val="none"/>
        </w:rPr>
        <w:t xml:space="preserve"> </w:t>
      </w:r>
      <w:r>
        <w:rPr>
          <w:sz w:val="24"/>
          <w:u w:val="none"/>
        </w:rPr>
        <w:t>under</w:t>
      </w:r>
      <w:r>
        <w:rPr>
          <w:spacing w:val="-5"/>
          <w:sz w:val="24"/>
          <w:u w:val="none"/>
        </w:rPr>
        <w:t xml:space="preserve"> </w:t>
      </w:r>
      <w:r>
        <w:rPr>
          <w:sz w:val="24"/>
          <w:u w:val="none"/>
        </w:rPr>
        <w:t>section</w:t>
      </w:r>
      <w:r>
        <w:rPr>
          <w:spacing w:val="-5"/>
          <w:sz w:val="24"/>
          <w:u w:val="none"/>
        </w:rPr>
        <w:t xml:space="preserve"> </w:t>
      </w:r>
      <w:r>
        <w:rPr>
          <w:sz w:val="24"/>
          <w:u w:val="none"/>
        </w:rPr>
        <w:t>3 above) justifying the expedited</w:t>
      </w:r>
      <w:r>
        <w:rPr>
          <w:spacing w:val="-2"/>
          <w:sz w:val="24"/>
          <w:u w:val="none"/>
        </w:rPr>
        <w:t xml:space="preserve"> </w:t>
      </w:r>
      <w:r>
        <w:rPr>
          <w:sz w:val="24"/>
          <w:u w:val="none"/>
        </w:rPr>
        <w:t>review.</w:t>
      </w:r>
    </w:p>
    <w:p w:rsidR="00691AEF" w:rsidRDefault="00691AEF">
      <w:pPr>
        <w:pStyle w:val="BodyText"/>
        <w:rPr>
          <w:sz w:val="26"/>
        </w:rPr>
      </w:pPr>
    </w:p>
    <w:p w:rsidR="00691AEF" w:rsidRDefault="00691AEF">
      <w:pPr>
        <w:pStyle w:val="BodyText"/>
        <w:spacing w:before="10"/>
        <w:rPr>
          <w:sz w:val="21"/>
        </w:rPr>
      </w:pPr>
    </w:p>
    <w:p w:rsidR="00691AEF" w:rsidRDefault="00D2166B">
      <w:pPr>
        <w:pStyle w:val="Heading1"/>
        <w:spacing w:before="1"/>
      </w:pPr>
      <w:r>
        <w:rPr>
          <w:u w:val="single"/>
        </w:rPr>
        <w:t>REFERENCES</w:t>
      </w:r>
    </w:p>
    <w:p w:rsidR="00691AEF" w:rsidRDefault="00691AEF">
      <w:pPr>
        <w:pStyle w:val="BodyText"/>
        <w:spacing w:before="2"/>
        <w:rPr>
          <w:b/>
          <w:sz w:val="15"/>
        </w:rPr>
      </w:pPr>
    </w:p>
    <w:p w:rsidR="00691AEF" w:rsidRDefault="00D2166B">
      <w:pPr>
        <w:pStyle w:val="ListParagraph"/>
        <w:numPr>
          <w:ilvl w:val="0"/>
          <w:numId w:val="2"/>
        </w:numPr>
        <w:tabs>
          <w:tab w:val="left" w:pos="659"/>
          <w:tab w:val="left" w:pos="660"/>
        </w:tabs>
        <w:spacing w:before="100" w:line="269" w:lineRule="exact"/>
        <w:rPr>
          <w:u w:val="none"/>
        </w:rPr>
      </w:pPr>
      <w:r>
        <w:rPr>
          <w:u w:val="none"/>
        </w:rPr>
        <w:t>45 CFR</w:t>
      </w:r>
      <w:r>
        <w:rPr>
          <w:spacing w:val="-9"/>
          <w:u w:val="none"/>
        </w:rPr>
        <w:t xml:space="preserve"> </w:t>
      </w:r>
      <w:r>
        <w:rPr>
          <w:u w:val="none"/>
        </w:rPr>
        <w:t>46.110</w:t>
      </w:r>
    </w:p>
    <w:p w:rsidR="00691AEF" w:rsidRDefault="00D2166B">
      <w:pPr>
        <w:pStyle w:val="ListParagraph"/>
        <w:numPr>
          <w:ilvl w:val="0"/>
          <w:numId w:val="2"/>
        </w:numPr>
        <w:tabs>
          <w:tab w:val="left" w:pos="659"/>
          <w:tab w:val="left" w:pos="660"/>
        </w:tabs>
        <w:spacing w:line="268" w:lineRule="exact"/>
        <w:rPr>
          <w:u w:val="none"/>
        </w:rPr>
      </w:pPr>
      <w:r>
        <w:rPr>
          <w:u w:val="none"/>
        </w:rPr>
        <w:t>21 CFR</w:t>
      </w:r>
      <w:r>
        <w:rPr>
          <w:spacing w:val="-9"/>
          <w:u w:val="none"/>
        </w:rPr>
        <w:t xml:space="preserve"> </w:t>
      </w:r>
      <w:r>
        <w:rPr>
          <w:u w:val="none"/>
        </w:rPr>
        <w:t>56.110</w:t>
      </w:r>
    </w:p>
    <w:p w:rsidR="00691AEF" w:rsidRDefault="00D2166B">
      <w:pPr>
        <w:pStyle w:val="ListParagraph"/>
        <w:numPr>
          <w:ilvl w:val="0"/>
          <w:numId w:val="2"/>
        </w:numPr>
        <w:tabs>
          <w:tab w:val="left" w:pos="659"/>
          <w:tab w:val="left" w:pos="660"/>
        </w:tabs>
        <w:spacing w:line="269" w:lineRule="exact"/>
        <w:rPr>
          <w:u w:val="none"/>
        </w:rPr>
      </w:pPr>
      <w:r>
        <w:rPr>
          <w:u w:val="none"/>
        </w:rPr>
        <w:t>63 FR 60364 – 60367, November 9,</w:t>
      </w:r>
      <w:r>
        <w:rPr>
          <w:spacing w:val="1"/>
          <w:u w:val="none"/>
        </w:rPr>
        <w:t xml:space="preserve"> </w:t>
      </w:r>
      <w:r>
        <w:rPr>
          <w:u w:val="none"/>
        </w:rPr>
        <w:t>1998</w:t>
      </w:r>
    </w:p>
    <w:p w:rsidR="00691AEF" w:rsidRDefault="00691AEF">
      <w:pPr>
        <w:pStyle w:val="BodyText"/>
        <w:spacing w:before="11"/>
        <w:rPr>
          <w:sz w:val="23"/>
        </w:rPr>
      </w:pPr>
    </w:p>
    <w:p w:rsidR="00691AEF" w:rsidRDefault="00D2166B">
      <w:pPr>
        <w:pStyle w:val="Heading1"/>
      </w:pPr>
      <w:r>
        <w:rPr>
          <w:u w:val="single"/>
        </w:rPr>
        <w:t>DOCUMENTATION (Documents &amp; Forms)</w:t>
      </w:r>
    </w:p>
    <w:p w:rsidR="00691AEF" w:rsidRDefault="00691AEF">
      <w:pPr>
        <w:pStyle w:val="BodyText"/>
        <w:spacing w:before="11"/>
        <w:rPr>
          <w:b/>
          <w:sz w:val="15"/>
        </w:rPr>
      </w:pPr>
    </w:p>
    <w:p w:rsidR="00691AEF" w:rsidRDefault="00D2166B">
      <w:pPr>
        <w:pStyle w:val="ListParagraph"/>
        <w:numPr>
          <w:ilvl w:val="0"/>
          <w:numId w:val="1"/>
        </w:numPr>
        <w:tabs>
          <w:tab w:val="left" w:pos="660"/>
        </w:tabs>
        <w:spacing w:before="92" w:line="275" w:lineRule="exact"/>
        <w:rPr>
          <w:sz w:val="24"/>
          <w:u w:val="none"/>
        </w:rPr>
      </w:pPr>
      <w:r>
        <w:rPr>
          <w:sz w:val="24"/>
          <w:u w:val="none"/>
        </w:rPr>
        <w:t>IRB Application for Approval of Research Involving Human</w:t>
      </w:r>
      <w:r>
        <w:rPr>
          <w:spacing w:val="-7"/>
          <w:sz w:val="24"/>
          <w:u w:val="none"/>
        </w:rPr>
        <w:t xml:space="preserve"> </w:t>
      </w:r>
      <w:r>
        <w:rPr>
          <w:sz w:val="24"/>
          <w:u w:val="none"/>
        </w:rPr>
        <w:t>Participants</w:t>
      </w:r>
    </w:p>
    <w:p w:rsidR="00691AEF" w:rsidRPr="00823C4C" w:rsidRDefault="00D2166B" w:rsidP="00823C4C">
      <w:pPr>
        <w:pStyle w:val="ListParagraph"/>
        <w:numPr>
          <w:ilvl w:val="0"/>
          <w:numId w:val="1"/>
        </w:numPr>
        <w:tabs>
          <w:tab w:val="left" w:pos="660"/>
        </w:tabs>
        <w:spacing w:line="275" w:lineRule="exact"/>
        <w:rPr>
          <w:sz w:val="24"/>
          <w:u w:val="none"/>
        </w:rPr>
      </w:pPr>
      <w:bookmarkStart w:id="0" w:name="_GoBack"/>
      <w:bookmarkEnd w:id="0"/>
      <w:r w:rsidRPr="00823C4C">
        <w:rPr>
          <w:sz w:val="24"/>
          <w:u w:val="none"/>
        </w:rPr>
        <w:t>IRB Continuation</w:t>
      </w:r>
      <w:r w:rsidRPr="00823C4C">
        <w:rPr>
          <w:spacing w:val="-1"/>
          <w:sz w:val="24"/>
          <w:u w:val="none"/>
        </w:rPr>
        <w:t xml:space="preserve"> </w:t>
      </w:r>
      <w:r w:rsidRPr="00823C4C">
        <w:rPr>
          <w:sz w:val="24"/>
          <w:u w:val="none"/>
        </w:rPr>
        <w:t>form</w:t>
      </w:r>
    </w:p>
    <w:p w:rsidR="00691AEF" w:rsidRDefault="00691AEF">
      <w:pPr>
        <w:pStyle w:val="BodyText"/>
      </w:pPr>
    </w:p>
    <w:p w:rsidR="00691AEF" w:rsidRDefault="00D2166B">
      <w:pPr>
        <w:pStyle w:val="Heading1"/>
      </w:pPr>
      <w:r>
        <w:rPr>
          <w:u w:val="single"/>
        </w:rPr>
        <w:t>Other Related Policy/Procedures:</w:t>
      </w:r>
    </w:p>
    <w:p w:rsidR="00691AEF" w:rsidRDefault="00691AEF">
      <w:pPr>
        <w:pStyle w:val="BodyText"/>
        <w:rPr>
          <w:b/>
          <w:sz w:val="16"/>
        </w:rPr>
      </w:pPr>
    </w:p>
    <w:p w:rsidR="00691AEF" w:rsidRDefault="00D2166B">
      <w:pPr>
        <w:pStyle w:val="BodyText"/>
        <w:spacing w:before="92"/>
        <w:ind w:left="300"/>
      </w:pPr>
      <w:r>
        <w:t>1. Exempt Review</w:t>
      </w:r>
    </w:p>
    <w:p w:rsidR="00691AEF" w:rsidRDefault="00691AEF">
      <w:pPr>
        <w:pStyle w:val="BodyText"/>
        <w:rPr>
          <w:sz w:val="20"/>
        </w:rPr>
      </w:pPr>
    </w:p>
    <w:p w:rsidR="00691AEF" w:rsidRDefault="00691AEF">
      <w:pPr>
        <w:pStyle w:val="BodyText"/>
        <w:rPr>
          <w:sz w:val="20"/>
        </w:rPr>
      </w:pPr>
    </w:p>
    <w:p w:rsidR="00691AEF" w:rsidRDefault="00691AEF">
      <w:pPr>
        <w:pStyle w:val="BodyText"/>
        <w:rPr>
          <w:sz w:val="20"/>
        </w:rPr>
      </w:pPr>
    </w:p>
    <w:p w:rsidR="00691AEF" w:rsidRDefault="00691AEF">
      <w:pPr>
        <w:pStyle w:val="BodyText"/>
        <w:rPr>
          <w:sz w:val="20"/>
        </w:rPr>
      </w:pPr>
    </w:p>
    <w:p w:rsidR="00691AEF" w:rsidRDefault="00691AEF">
      <w:pPr>
        <w:pStyle w:val="BodyText"/>
        <w:rPr>
          <w:sz w:val="20"/>
        </w:rPr>
      </w:pPr>
    </w:p>
    <w:p w:rsidR="00691AEF" w:rsidRDefault="00691AEF">
      <w:pPr>
        <w:pStyle w:val="BodyText"/>
        <w:rPr>
          <w:sz w:val="20"/>
        </w:rPr>
      </w:pPr>
    </w:p>
    <w:p w:rsidR="00691AEF" w:rsidRDefault="00691AEF">
      <w:pPr>
        <w:pStyle w:val="BodyText"/>
        <w:spacing w:before="10"/>
        <w:rPr>
          <w:sz w:val="15"/>
        </w:rPr>
      </w:pPr>
    </w:p>
    <w:p w:rsidR="00691AEF" w:rsidRDefault="00D2166B">
      <w:pPr>
        <w:pStyle w:val="Heading1"/>
        <w:spacing w:before="93"/>
        <w:ind w:left="4025" w:right="3944"/>
        <w:jc w:val="center"/>
      </w:pPr>
      <w:r>
        <w:t>REVISION HISTORY</w:t>
      </w:r>
    </w:p>
    <w:p w:rsidR="00691AEF" w:rsidRDefault="00691AEF">
      <w:pPr>
        <w:pStyle w:val="BodyText"/>
        <w:rPr>
          <w:b/>
          <w:sz w:val="20"/>
        </w:rPr>
      </w:pPr>
    </w:p>
    <w:p w:rsidR="00691AEF" w:rsidRDefault="00691AEF">
      <w:pPr>
        <w:pStyle w:val="BodyText"/>
        <w:spacing w:before="1"/>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691AEF">
        <w:trPr>
          <w:trHeight w:val="252"/>
        </w:trPr>
        <w:tc>
          <w:tcPr>
            <w:tcW w:w="2250" w:type="dxa"/>
            <w:shd w:val="clear" w:color="auto" w:fill="D9D9D9"/>
          </w:tcPr>
          <w:p w:rsidR="00691AEF" w:rsidRDefault="00D2166B">
            <w:pPr>
              <w:pStyle w:val="TableParagraph"/>
              <w:spacing w:line="233" w:lineRule="exact"/>
              <w:ind w:left="220"/>
              <w:rPr>
                <w:b/>
              </w:rPr>
            </w:pPr>
            <w:r>
              <w:rPr>
                <w:b/>
              </w:rPr>
              <w:t>Revision Number</w:t>
            </w:r>
          </w:p>
        </w:tc>
        <w:tc>
          <w:tcPr>
            <w:tcW w:w="3690" w:type="dxa"/>
            <w:shd w:val="clear" w:color="auto" w:fill="D9D9D9"/>
          </w:tcPr>
          <w:p w:rsidR="00691AEF" w:rsidRDefault="00D2166B">
            <w:pPr>
              <w:pStyle w:val="TableParagraph"/>
              <w:spacing w:line="233" w:lineRule="exact"/>
              <w:ind w:left="610"/>
              <w:rPr>
                <w:b/>
              </w:rPr>
            </w:pPr>
            <w:r>
              <w:rPr>
                <w:b/>
              </w:rPr>
              <w:t>Description of Changes</w:t>
            </w:r>
          </w:p>
        </w:tc>
        <w:tc>
          <w:tcPr>
            <w:tcW w:w="1854" w:type="dxa"/>
            <w:shd w:val="clear" w:color="auto" w:fill="D9D9D9"/>
          </w:tcPr>
          <w:p w:rsidR="00691AEF" w:rsidRDefault="00D2166B">
            <w:pPr>
              <w:pStyle w:val="TableParagraph"/>
              <w:spacing w:line="233" w:lineRule="exact"/>
              <w:ind w:left="388"/>
              <w:rPr>
                <w:b/>
              </w:rPr>
            </w:pPr>
            <w:r>
              <w:rPr>
                <w:b/>
              </w:rPr>
              <w:t>Approvals</w:t>
            </w:r>
          </w:p>
        </w:tc>
        <w:tc>
          <w:tcPr>
            <w:tcW w:w="1854" w:type="dxa"/>
            <w:shd w:val="clear" w:color="auto" w:fill="D9D9D9"/>
          </w:tcPr>
          <w:p w:rsidR="00691AEF" w:rsidRDefault="00D2166B">
            <w:pPr>
              <w:pStyle w:val="TableParagraph"/>
              <w:spacing w:line="233" w:lineRule="exact"/>
              <w:ind w:left="668" w:right="659"/>
              <w:jc w:val="center"/>
              <w:rPr>
                <w:b/>
              </w:rPr>
            </w:pPr>
            <w:r>
              <w:rPr>
                <w:b/>
              </w:rPr>
              <w:t>Date</w:t>
            </w:r>
          </w:p>
        </w:tc>
      </w:tr>
      <w:tr w:rsidR="00691AEF">
        <w:trPr>
          <w:trHeight w:val="275"/>
        </w:trPr>
        <w:tc>
          <w:tcPr>
            <w:tcW w:w="2250" w:type="dxa"/>
          </w:tcPr>
          <w:p w:rsidR="00691AEF" w:rsidRDefault="00691AEF">
            <w:pPr>
              <w:pStyle w:val="TableParagraph"/>
              <w:rPr>
                <w:rFonts w:ascii="Times New Roman"/>
                <w:sz w:val="20"/>
              </w:rPr>
            </w:pPr>
          </w:p>
        </w:tc>
        <w:tc>
          <w:tcPr>
            <w:tcW w:w="3690"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r>
      <w:tr w:rsidR="00691AEF">
        <w:trPr>
          <w:trHeight w:val="276"/>
        </w:trPr>
        <w:tc>
          <w:tcPr>
            <w:tcW w:w="2250" w:type="dxa"/>
          </w:tcPr>
          <w:p w:rsidR="00691AEF" w:rsidRDefault="00691AEF">
            <w:pPr>
              <w:pStyle w:val="TableParagraph"/>
              <w:rPr>
                <w:rFonts w:ascii="Times New Roman"/>
                <w:sz w:val="20"/>
              </w:rPr>
            </w:pPr>
          </w:p>
        </w:tc>
        <w:tc>
          <w:tcPr>
            <w:tcW w:w="3690"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r>
      <w:tr w:rsidR="00691AEF">
        <w:trPr>
          <w:trHeight w:val="275"/>
        </w:trPr>
        <w:tc>
          <w:tcPr>
            <w:tcW w:w="2250" w:type="dxa"/>
          </w:tcPr>
          <w:p w:rsidR="00691AEF" w:rsidRDefault="00691AEF">
            <w:pPr>
              <w:pStyle w:val="TableParagraph"/>
              <w:rPr>
                <w:rFonts w:ascii="Times New Roman"/>
                <w:sz w:val="20"/>
              </w:rPr>
            </w:pPr>
          </w:p>
        </w:tc>
        <w:tc>
          <w:tcPr>
            <w:tcW w:w="3690"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r>
      <w:tr w:rsidR="00691AEF">
        <w:trPr>
          <w:trHeight w:val="275"/>
        </w:trPr>
        <w:tc>
          <w:tcPr>
            <w:tcW w:w="2250" w:type="dxa"/>
          </w:tcPr>
          <w:p w:rsidR="00691AEF" w:rsidRDefault="00691AEF">
            <w:pPr>
              <w:pStyle w:val="TableParagraph"/>
              <w:rPr>
                <w:rFonts w:ascii="Times New Roman"/>
                <w:sz w:val="20"/>
              </w:rPr>
            </w:pPr>
          </w:p>
        </w:tc>
        <w:tc>
          <w:tcPr>
            <w:tcW w:w="3690"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r>
      <w:tr w:rsidR="00691AEF">
        <w:trPr>
          <w:trHeight w:val="276"/>
        </w:trPr>
        <w:tc>
          <w:tcPr>
            <w:tcW w:w="2250" w:type="dxa"/>
          </w:tcPr>
          <w:p w:rsidR="00691AEF" w:rsidRDefault="00691AEF">
            <w:pPr>
              <w:pStyle w:val="TableParagraph"/>
              <w:rPr>
                <w:rFonts w:ascii="Times New Roman"/>
                <w:sz w:val="20"/>
              </w:rPr>
            </w:pPr>
          </w:p>
        </w:tc>
        <w:tc>
          <w:tcPr>
            <w:tcW w:w="3690"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r>
    </w:tbl>
    <w:p w:rsidR="00356281" w:rsidRDefault="00356281"/>
    <w:sectPr w:rsidR="00356281">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81" w:rsidRDefault="00D2166B">
      <w:r>
        <w:separator/>
      </w:r>
    </w:p>
  </w:endnote>
  <w:endnote w:type="continuationSeparator" w:id="0">
    <w:p w:rsidR="00356281" w:rsidRDefault="00D2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EF" w:rsidRDefault="00D2166B">
    <w:pPr>
      <w:pStyle w:val="BodyText"/>
      <w:spacing w:line="14" w:lineRule="auto"/>
      <w:rPr>
        <w:sz w:val="20"/>
      </w:rPr>
    </w:pPr>
    <w:r>
      <w:rPr>
        <w:noProof/>
      </w:rPr>
      <mc:AlternateContent>
        <mc:Choice Requires="wpg">
          <w:drawing>
            <wp:anchor distT="0" distB="0" distL="114300" distR="114300" simplePos="0" relativeHeight="503310128"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2901E3" id="Group 4" o:spid="_x0000_s1026" style="position:absolute;margin-left:70.5pt;margin-top:711.1pt;width:471pt;height:4.45pt;z-index:-6352;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0152"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AEF" w:rsidRDefault="00D2166B">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691AEF" w:rsidRDefault="00D2166B">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0176"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AEF" w:rsidRDefault="00D2166B">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sidR="00612CF4">
                            <w:rPr>
                              <w:rFonts w:ascii="Times New Roman"/>
                              <w:noProof/>
                              <w:w w:val="11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5.3pt;margin-top:727.15pt;width:36.8pt;height:16.1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691AEF" w:rsidRDefault="00D2166B">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sidR="00612CF4">
                      <w:rPr>
                        <w:rFonts w:ascii="Times New Roman"/>
                        <w:noProof/>
                        <w:w w:val="110"/>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00"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AEF" w:rsidRDefault="00D2166B">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691AEF" w:rsidRDefault="00D2166B">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81" w:rsidRDefault="00D2166B">
      <w:r>
        <w:separator/>
      </w:r>
    </w:p>
  </w:footnote>
  <w:footnote w:type="continuationSeparator" w:id="0">
    <w:p w:rsidR="00356281" w:rsidRDefault="00D21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099"/>
    <w:multiLevelType w:val="hybridMultilevel"/>
    <w:tmpl w:val="396AF704"/>
    <w:lvl w:ilvl="0" w:tplc="15A0E146">
      <w:numFmt w:val="bullet"/>
      <w:lvlText w:val=""/>
      <w:lvlJc w:val="left"/>
      <w:pPr>
        <w:ind w:left="660" w:hanging="360"/>
      </w:pPr>
      <w:rPr>
        <w:rFonts w:ascii="Symbol" w:eastAsia="Symbol" w:hAnsi="Symbol" w:cs="Symbol" w:hint="default"/>
        <w:w w:val="99"/>
        <w:sz w:val="22"/>
        <w:szCs w:val="22"/>
      </w:rPr>
    </w:lvl>
    <w:lvl w:ilvl="1" w:tplc="B83E9666">
      <w:numFmt w:val="bullet"/>
      <w:lvlText w:val="•"/>
      <w:lvlJc w:val="left"/>
      <w:pPr>
        <w:ind w:left="1582" w:hanging="360"/>
      </w:pPr>
      <w:rPr>
        <w:rFonts w:hint="default"/>
      </w:rPr>
    </w:lvl>
    <w:lvl w:ilvl="2" w:tplc="45183056">
      <w:numFmt w:val="bullet"/>
      <w:lvlText w:val="•"/>
      <w:lvlJc w:val="left"/>
      <w:pPr>
        <w:ind w:left="2504" w:hanging="360"/>
      </w:pPr>
      <w:rPr>
        <w:rFonts w:hint="default"/>
      </w:rPr>
    </w:lvl>
    <w:lvl w:ilvl="3" w:tplc="D31EB00A">
      <w:numFmt w:val="bullet"/>
      <w:lvlText w:val="•"/>
      <w:lvlJc w:val="left"/>
      <w:pPr>
        <w:ind w:left="3426" w:hanging="360"/>
      </w:pPr>
      <w:rPr>
        <w:rFonts w:hint="default"/>
      </w:rPr>
    </w:lvl>
    <w:lvl w:ilvl="4" w:tplc="F440D638">
      <w:numFmt w:val="bullet"/>
      <w:lvlText w:val="•"/>
      <w:lvlJc w:val="left"/>
      <w:pPr>
        <w:ind w:left="4348" w:hanging="360"/>
      </w:pPr>
      <w:rPr>
        <w:rFonts w:hint="default"/>
      </w:rPr>
    </w:lvl>
    <w:lvl w:ilvl="5" w:tplc="DC12273C">
      <w:numFmt w:val="bullet"/>
      <w:lvlText w:val="•"/>
      <w:lvlJc w:val="left"/>
      <w:pPr>
        <w:ind w:left="5270" w:hanging="360"/>
      </w:pPr>
      <w:rPr>
        <w:rFonts w:hint="default"/>
      </w:rPr>
    </w:lvl>
    <w:lvl w:ilvl="6" w:tplc="80585092">
      <w:numFmt w:val="bullet"/>
      <w:lvlText w:val="•"/>
      <w:lvlJc w:val="left"/>
      <w:pPr>
        <w:ind w:left="6192" w:hanging="360"/>
      </w:pPr>
      <w:rPr>
        <w:rFonts w:hint="default"/>
      </w:rPr>
    </w:lvl>
    <w:lvl w:ilvl="7" w:tplc="4C0CE2B0">
      <w:numFmt w:val="bullet"/>
      <w:lvlText w:val="•"/>
      <w:lvlJc w:val="left"/>
      <w:pPr>
        <w:ind w:left="7114" w:hanging="360"/>
      </w:pPr>
      <w:rPr>
        <w:rFonts w:hint="default"/>
      </w:rPr>
    </w:lvl>
    <w:lvl w:ilvl="8" w:tplc="2148293C">
      <w:numFmt w:val="bullet"/>
      <w:lvlText w:val="•"/>
      <w:lvlJc w:val="left"/>
      <w:pPr>
        <w:ind w:left="8036" w:hanging="360"/>
      </w:pPr>
      <w:rPr>
        <w:rFonts w:hint="default"/>
      </w:rPr>
    </w:lvl>
  </w:abstractNum>
  <w:abstractNum w:abstractNumId="1" w15:restartNumberingAfterBreak="0">
    <w:nsid w:val="358E58CA"/>
    <w:multiLevelType w:val="hybridMultilevel"/>
    <w:tmpl w:val="1FEE49A0"/>
    <w:lvl w:ilvl="0" w:tplc="E5B857C0">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C6C61D76">
      <w:numFmt w:val="bullet"/>
      <w:lvlText w:val="•"/>
      <w:lvlJc w:val="left"/>
      <w:pPr>
        <w:ind w:left="1582" w:hanging="360"/>
      </w:pPr>
      <w:rPr>
        <w:rFonts w:hint="default"/>
      </w:rPr>
    </w:lvl>
    <w:lvl w:ilvl="2" w:tplc="9D344A1A">
      <w:numFmt w:val="bullet"/>
      <w:lvlText w:val="•"/>
      <w:lvlJc w:val="left"/>
      <w:pPr>
        <w:ind w:left="2504" w:hanging="360"/>
      </w:pPr>
      <w:rPr>
        <w:rFonts w:hint="default"/>
      </w:rPr>
    </w:lvl>
    <w:lvl w:ilvl="3" w:tplc="27F8B2C6">
      <w:numFmt w:val="bullet"/>
      <w:lvlText w:val="•"/>
      <w:lvlJc w:val="left"/>
      <w:pPr>
        <w:ind w:left="3426" w:hanging="360"/>
      </w:pPr>
      <w:rPr>
        <w:rFonts w:hint="default"/>
      </w:rPr>
    </w:lvl>
    <w:lvl w:ilvl="4" w:tplc="DDF45CA8">
      <w:numFmt w:val="bullet"/>
      <w:lvlText w:val="•"/>
      <w:lvlJc w:val="left"/>
      <w:pPr>
        <w:ind w:left="4348" w:hanging="360"/>
      </w:pPr>
      <w:rPr>
        <w:rFonts w:hint="default"/>
      </w:rPr>
    </w:lvl>
    <w:lvl w:ilvl="5" w:tplc="365E2324">
      <w:numFmt w:val="bullet"/>
      <w:lvlText w:val="•"/>
      <w:lvlJc w:val="left"/>
      <w:pPr>
        <w:ind w:left="5270" w:hanging="360"/>
      </w:pPr>
      <w:rPr>
        <w:rFonts w:hint="default"/>
      </w:rPr>
    </w:lvl>
    <w:lvl w:ilvl="6" w:tplc="A1441E2C">
      <w:numFmt w:val="bullet"/>
      <w:lvlText w:val="•"/>
      <w:lvlJc w:val="left"/>
      <w:pPr>
        <w:ind w:left="6192" w:hanging="360"/>
      </w:pPr>
      <w:rPr>
        <w:rFonts w:hint="default"/>
      </w:rPr>
    </w:lvl>
    <w:lvl w:ilvl="7" w:tplc="F16441AC">
      <w:numFmt w:val="bullet"/>
      <w:lvlText w:val="•"/>
      <w:lvlJc w:val="left"/>
      <w:pPr>
        <w:ind w:left="7114" w:hanging="360"/>
      </w:pPr>
      <w:rPr>
        <w:rFonts w:hint="default"/>
      </w:rPr>
    </w:lvl>
    <w:lvl w:ilvl="8" w:tplc="B06CAE12">
      <w:numFmt w:val="bullet"/>
      <w:lvlText w:val="•"/>
      <w:lvlJc w:val="left"/>
      <w:pPr>
        <w:ind w:left="8036" w:hanging="360"/>
      </w:pPr>
      <w:rPr>
        <w:rFonts w:hint="default"/>
      </w:rPr>
    </w:lvl>
  </w:abstractNum>
  <w:abstractNum w:abstractNumId="2" w15:restartNumberingAfterBreak="0">
    <w:nsid w:val="42601FE3"/>
    <w:multiLevelType w:val="hybridMultilevel"/>
    <w:tmpl w:val="D94E0636"/>
    <w:lvl w:ilvl="0" w:tplc="9668977C">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E8AA6C74">
      <w:numFmt w:val="bullet"/>
      <w:lvlText w:val="•"/>
      <w:lvlJc w:val="left"/>
      <w:pPr>
        <w:ind w:left="1582" w:hanging="360"/>
      </w:pPr>
      <w:rPr>
        <w:rFonts w:hint="default"/>
      </w:rPr>
    </w:lvl>
    <w:lvl w:ilvl="2" w:tplc="3370967A">
      <w:numFmt w:val="bullet"/>
      <w:lvlText w:val="•"/>
      <w:lvlJc w:val="left"/>
      <w:pPr>
        <w:ind w:left="2504" w:hanging="360"/>
      </w:pPr>
      <w:rPr>
        <w:rFonts w:hint="default"/>
      </w:rPr>
    </w:lvl>
    <w:lvl w:ilvl="3" w:tplc="47F28360">
      <w:numFmt w:val="bullet"/>
      <w:lvlText w:val="•"/>
      <w:lvlJc w:val="left"/>
      <w:pPr>
        <w:ind w:left="3426" w:hanging="360"/>
      </w:pPr>
      <w:rPr>
        <w:rFonts w:hint="default"/>
      </w:rPr>
    </w:lvl>
    <w:lvl w:ilvl="4" w:tplc="6A88550A">
      <w:numFmt w:val="bullet"/>
      <w:lvlText w:val="•"/>
      <w:lvlJc w:val="left"/>
      <w:pPr>
        <w:ind w:left="4348" w:hanging="360"/>
      </w:pPr>
      <w:rPr>
        <w:rFonts w:hint="default"/>
      </w:rPr>
    </w:lvl>
    <w:lvl w:ilvl="5" w:tplc="B8644F32">
      <w:numFmt w:val="bullet"/>
      <w:lvlText w:val="•"/>
      <w:lvlJc w:val="left"/>
      <w:pPr>
        <w:ind w:left="5270" w:hanging="360"/>
      </w:pPr>
      <w:rPr>
        <w:rFonts w:hint="default"/>
      </w:rPr>
    </w:lvl>
    <w:lvl w:ilvl="6" w:tplc="9F1EC64A">
      <w:numFmt w:val="bullet"/>
      <w:lvlText w:val="•"/>
      <w:lvlJc w:val="left"/>
      <w:pPr>
        <w:ind w:left="6192" w:hanging="360"/>
      </w:pPr>
      <w:rPr>
        <w:rFonts w:hint="default"/>
      </w:rPr>
    </w:lvl>
    <w:lvl w:ilvl="7" w:tplc="BE4026A8">
      <w:numFmt w:val="bullet"/>
      <w:lvlText w:val="•"/>
      <w:lvlJc w:val="left"/>
      <w:pPr>
        <w:ind w:left="7114" w:hanging="360"/>
      </w:pPr>
      <w:rPr>
        <w:rFonts w:hint="default"/>
      </w:rPr>
    </w:lvl>
    <w:lvl w:ilvl="8" w:tplc="4956F6F8">
      <w:numFmt w:val="bullet"/>
      <w:lvlText w:val="•"/>
      <w:lvlJc w:val="left"/>
      <w:pPr>
        <w:ind w:left="8036" w:hanging="360"/>
      </w:pPr>
      <w:rPr>
        <w:rFonts w:hint="default"/>
      </w:rPr>
    </w:lvl>
  </w:abstractNum>
  <w:abstractNum w:abstractNumId="3" w15:restartNumberingAfterBreak="0">
    <w:nsid w:val="4A195876"/>
    <w:multiLevelType w:val="hybridMultilevel"/>
    <w:tmpl w:val="D35E557E"/>
    <w:lvl w:ilvl="0" w:tplc="5A5623E4">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6ABAF34A">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037C2D86">
      <w:start w:val="1"/>
      <w:numFmt w:val="lowerRoman"/>
      <w:lvlText w:val="%3."/>
      <w:lvlJc w:val="left"/>
      <w:pPr>
        <w:ind w:left="2100" w:hanging="279"/>
        <w:jc w:val="left"/>
      </w:pPr>
      <w:rPr>
        <w:rFonts w:ascii="Liberation Sans Narrow" w:eastAsia="Liberation Sans Narrow" w:hAnsi="Liberation Sans Narrow" w:cs="Liberation Sans Narrow" w:hint="default"/>
        <w:spacing w:val="-1"/>
        <w:w w:val="99"/>
        <w:sz w:val="24"/>
        <w:szCs w:val="24"/>
      </w:rPr>
    </w:lvl>
    <w:lvl w:ilvl="3" w:tplc="B7E8C2A6">
      <w:numFmt w:val="bullet"/>
      <w:lvlText w:val="•"/>
      <w:lvlJc w:val="left"/>
      <w:pPr>
        <w:ind w:left="3072" w:hanging="279"/>
      </w:pPr>
      <w:rPr>
        <w:rFonts w:hint="default"/>
      </w:rPr>
    </w:lvl>
    <w:lvl w:ilvl="4" w:tplc="10F4AA1A">
      <w:numFmt w:val="bullet"/>
      <w:lvlText w:val="•"/>
      <w:lvlJc w:val="left"/>
      <w:pPr>
        <w:ind w:left="4045" w:hanging="279"/>
      </w:pPr>
      <w:rPr>
        <w:rFonts w:hint="default"/>
      </w:rPr>
    </w:lvl>
    <w:lvl w:ilvl="5" w:tplc="48FAFF78">
      <w:numFmt w:val="bullet"/>
      <w:lvlText w:val="•"/>
      <w:lvlJc w:val="left"/>
      <w:pPr>
        <w:ind w:left="5017" w:hanging="279"/>
      </w:pPr>
      <w:rPr>
        <w:rFonts w:hint="default"/>
      </w:rPr>
    </w:lvl>
    <w:lvl w:ilvl="6" w:tplc="6DACBDF0">
      <w:numFmt w:val="bullet"/>
      <w:lvlText w:val="•"/>
      <w:lvlJc w:val="left"/>
      <w:pPr>
        <w:ind w:left="5990" w:hanging="279"/>
      </w:pPr>
      <w:rPr>
        <w:rFonts w:hint="default"/>
      </w:rPr>
    </w:lvl>
    <w:lvl w:ilvl="7" w:tplc="3580C884">
      <w:numFmt w:val="bullet"/>
      <w:lvlText w:val="•"/>
      <w:lvlJc w:val="left"/>
      <w:pPr>
        <w:ind w:left="6962" w:hanging="279"/>
      </w:pPr>
      <w:rPr>
        <w:rFonts w:hint="default"/>
      </w:rPr>
    </w:lvl>
    <w:lvl w:ilvl="8" w:tplc="18EEE988">
      <w:numFmt w:val="bullet"/>
      <w:lvlText w:val="•"/>
      <w:lvlJc w:val="left"/>
      <w:pPr>
        <w:ind w:left="7935" w:hanging="279"/>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EF"/>
    <w:rsid w:val="00356281"/>
    <w:rsid w:val="00612CF4"/>
    <w:rsid w:val="00691AEF"/>
    <w:rsid w:val="00823C4C"/>
    <w:rsid w:val="00D2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29324"/>
  <w15:docId w15:val="{AD9D67F4-A315-490C-80F0-83A2DA63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0" w:hanging="360"/>
    </w:pPr>
    <w:rPr>
      <w:u w:val="single" w:color="000000"/>
    </w:r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823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4C"/>
    <w:rPr>
      <w:rFonts w:ascii="Segoe UI" w:eastAsia="Liberation Sans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7</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Expedited Review - APPROVED 03.25.2015</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Expedited Review - APPROVED 03.25.2015</dc:title>
  <dc:creator>FLEWIS</dc:creator>
  <cp:lastModifiedBy>Jessica Rivenbark</cp:lastModifiedBy>
  <cp:revision>3</cp:revision>
  <cp:lastPrinted>2019-08-13T20:55:00Z</cp:lastPrinted>
  <dcterms:created xsi:type="dcterms:W3CDTF">2019-07-08T18:50:00Z</dcterms:created>
  <dcterms:modified xsi:type="dcterms:W3CDTF">2019-08-14T20:08:00Z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Creator">
    <vt:lpwstr>PScript5.dll Version 5.2.2</vt:lpwstr>
  </property>
  <property fmtid="{D5CDD505-2E9C-101B-9397-08002B2CF9AE}" pid="4" name="LastSaved">
    <vt:filetime>2019-07-08T00:00:00Z</vt:filetime>
  </property>
</Properties>
</file>