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9A" w:rsidRDefault="0005121F">
      <w:pPr>
        <w:spacing w:before="79"/>
        <w:ind w:left="3066"/>
        <w:rPr>
          <w:b/>
          <w:sz w:val="28"/>
        </w:rPr>
      </w:pPr>
      <w:bookmarkStart w:id="0" w:name="_GoBack"/>
      <w:bookmarkEnd w:id="0"/>
      <w:r>
        <w:rPr>
          <w:b/>
          <w:sz w:val="28"/>
          <w:u w:val="thick"/>
        </w:rPr>
        <w:t>Phoebe Putney Health System, Inc.</w:t>
      </w:r>
    </w:p>
    <w:p w:rsidR="008F129A" w:rsidRDefault="008F129A">
      <w:pPr>
        <w:pStyle w:val="BodyText"/>
        <w:spacing w:before="11"/>
        <w:rPr>
          <w:b/>
          <w:sz w:val="15"/>
        </w:rPr>
      </w:pPr>
    </w:p>
    <w:p w:rsidR="008F129A" w:rsidRDefault="0005121F">
      <w:pPr>
        <w:pStyle w:val="Heading1"/>
        <w:tabs>
          <w:tab w:val="left" w:pos="7397"/>
        </w:tabs>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648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 JURISDICTION</w:t>
      </w:r>
      <w:r>
        <w:rPr>
          <w:spacing w:val="-23"/>
        </w:rPr>
        <w:t xml:space="preserve"> </w:t>
      </w:r>
      <w:r>
        <w:t>/</w:t>
      </w:r>
      <w:r>
        <w:rPr>
          <w:spacing w:val="-4"/>
        </w:rPr>
        <w:t xml:space="preserve"> </w:t>
      </w:r>
      <w:r>
        <w:t>AUTHORITY</w:t>
      </w:r>
      <w:r>
        <w:tab/>
        <w:t>POLICY NO.:</w:t>
      </w:r>
      <w:r>
        <w:rPr>
          <w:spacing w:val="-2"/>
        </w:rPr>
        <w:t xml:space="preserve"> </w:t>
      </w:r>
      <w:r>
        <w:t>PPMH</w:t>
      </w:r>
    </w:p>
    <w:p w:rsidR="008F129A" w:rsidRDefault="0005121F">
      <w:pPr>
        <w:tabs>
          <w:tab w:val="left" w:pos="6781"/>
        </w:tabs>
        <w:spacing w:before="56"/>
        <w:ind w:left="300"/>
        <w:rPr>
          <w:sz w:val="24"/>
        </w:rPr>
      </w:pPr>
      <w:r>
        <w:rPr>
          <w:b/>
          <w:sz w:val="24"/>
        </w:rPr>
        <w:t xml:space="preserve">Approved by: </w:t>
      </w:r>
      <w:r>
        <w:rPr>
          <w:b/>
          <w:spacing w:val="46"/>
          <w:sz w:val="24"/>
        </w:rPr>
        <w:t xml:space="preserve"> </w:t>
      </w:r>
      <w:r>
        <w:rPr>
          <w:sz w:val="24"/>
        </w:rPr>
        <w:t>IRB</w:t>
      </w:r>
      <w:r>
        <w:rPr>
          <w:spacing w:val="-2"/>
          <w:sz w:val="24"/>
        </w:rPr>
        <w:t xml:space="preserve"> </w:t>
      </w:r>
      <w:r>
        <w:rPr>
          <w:sz w:val="24"/>
        </w:rPr>
        <w:t>Chair</w:t>
      </w:r>
      <w:r>
        <w:rPr>
          <w:sz w:val="24"/>
        </w:rPr>
        <w:tab/>
        <w:t>Review Date:</w:t>
      </w:r>
    </w:p>
    <w:p w:rsidR="008F129A" w:rsidRDefault="0005121F">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8F129A" w:rsidRDefault="0005121F">
      <w:pPr>
        <w:tabs>
          <w:tab w:val="left" w:pos="6779"/>
        </w:tabs>
        <w:ind w:left="6780" w:right="671" w:hanging="6481"/>
        <w:jc w:val="right"/>
        <w:rPr>
          <w:sz w:val="24"/>
        </w:rPr>
      </w:pPr>
      <w:r>
        <w:rPr>
          <w:b/>
          <w:sz w:val="24"/>
        </w:rPr>
        <w:t xml:space="preserve">Contact Information: </w:t>
      </w:r>
      <w:r>
        <w:rPr>
          <w:sz w:val="24"/>
        </w:rPr>
        <w:t>Institutional</w:t>
      </w:r>
      <w:r>
        <w:rPr>
          <w:spacing w:val="-10"/>
          <w:sz w:val="24"/>
        </w:rPr>
        <w:t xml:space="preserve"> </w:t>
      </w:r>
      <w:r>
        <w:rPr>
          <w:sz w:val="24"/>
        </w:rPr>
        <w:t>Review</w:t>
      </w:r>
      <w:r>
        <w:rPr>
          <w:spacing w:val="-4"/>
          <w:sz w:val="24"/>
        </w:rPr>
        <w:t xml:space="preserve"> </w:t>
      </w:r>
      <w:r>
        <w:rPr>
          <w:sz w:val="24"/>
        </w:rPr>
        <w:t>Board</w:t>
      </w:r>
      <w:r>
        <w:rPr>
          <w:sz w:val="24"/>
        </w:rPr>
        <w:tab/>
        <w:t>Approval</w:t>
      </w:r>
      <w:r>
        <w:rPr>
          <w:spacing w:val="-6"/>
          <w:sz w:val="24"/>
        </w:rPr>
        <w:t xml:space="preserve"> </w:t>
      </w:r>
      <w:r>
        <w:rPr>
          <w:sz w:val="24"/>
        </w:rPr>
        <w:t>Date:</w:t>
      </w:r>
      <w:r>
        <w:rPr>
          <w:spacing w:val="14"/>
          <w:sz w:val="24"/>
        </w:rPr>
        <w:t xml:space="preserve"> </w:t>
      </w:r>
      <w:r>
        <w:rPr>
          <w:sz w:val="24"/>
        </w:rPr>
        <w:t>01/28/2015</w:t>
      </w:r>
      <w:r>
        <w:rPr>
          <w:spacing w:val="-1"/>
          <w:w w:val="99"/>
          <w:sz w:val="24"/>
        </w:rPr>
        <w:t xml:space="preserve"> </w:t>
      </w:r>
      <w:r>
        <w:rPr>
          <w:sz w:val="24"/>
        </w:rPr>
        <w:t>Effective Date:</w:t>
      </w:r>
      <w:r>
        <w:rPr>
          <w:spacing w:val="49"/>
          <w:sz w:val="24"/>
        </w:rPr>
        <w:t xml:space="preserve"> </w:t>
      </w:r>
      <w:r>
        <w:rPr>
          <w:sz w:val="24"/>
        </w:rPr>
        <w:t>02/01/2015</w:t>
      </w:r>
    </w:p>
    <w:p w:rsidR="008F129A" w:rsidRDefault="0005121F">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4765" r="28575" b="2286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5A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8F129A" w:rsidRDefault="008F129A">
      <w:pPr>
        <w:pStyle w:val="BodyText"/>
        <w:spacing w:before="6"/>
        <w:rPr>
          <w:sz w:val="35"/>
        </w:rPr>
      </w:pPr>
    </w:p>
    <w:p w:rsidR="008F129A" w:rsidRDefault="0005121F">
      <w:pPr>
        <w:pStyle w:val="BodyText"/>
        <w:ind w:left="300" w:right="358"/>
      </w:pPr>
      <w:r>
        <w:rPr>
          <w:b/>
          <w:u w:val="single"/>
        </w:rPr>
        <w:t>SCOPE:</w:t>
      </w:r>
      <w:r>
        <w:rPr>
          <w:b/>
        </w:rPr>
        <w:t xml:space="preserve"> </w:t>
      </w:r>
      <w:r>
        <w:t>Phoebe Putney Memorial Hospital, Inc. (PPMH) has established an Institutional Review Board (IRB), independent of all other departments of those entities, which is responsible for initial and continuing review and oversight of all research involving human s</w:t>
      </w:r>
      <w:r>
        <w:t>ubjects conducted on the premises of, or supported by PPMH (hereinafter referred to as the “Institution”).</w:t>
      </w:r>
    </w:p>
    <w:p w:rsidR="008F129A" w:rsidRDefault="008F129A">
      <w:pPr>
        <w:pStyle w:val="BodyText"/>
        <w:spacing w:before="11"/>
        <w:rPr>
          <w:sz w:val="23"/>
        </w:rPr>
      </w:pPr>
    </w:p>
    <w:p w:rsidR="008F129A" w:rsidRDefault="0005121F">
      <w:pPr>
        <w:pStyle w:val="BodyText"/>
        <w:ind w:left="300" w:right="221"/>
      </w:pPr>
      <w:r>
        <w:rPr>
          <w:b/>
          <w:u w:val="single"/>
        </w:rPr>
        <w:t>PURPOSE</w:t>
      </w:r>
      <w:r>
        <w:rPr>
          <w:b/>
        </w:rPr>
        <w:t xml:space="preserve">: </w:t>
      </w:r>
      <w:r>
        <w:t>The purpose of these policies and procedures is to ensure compliance by the institution with requirements of 45 CFR 46, 21 CFR 56 and 21 CF</w:t>
      </w:r>
      <w:r>
        <w:t>R 50.  This policy grants the IRB jurisdiction and authority to the fullest extent needed in order to conduct its reviews and other activities in such a manner as to provide adequate protection to human research</w:t>
      </w:r>
      <w:r>
        <w:rPr>
          <w:spacing w:val="-4"/>
        </w:rPr>
        <w:t xml:space="preserve"> </w:t>
      </w:r>
      <w:r>
        <w:t>subjects.</w:t>
      </w:r>
    </w:p>
    <w:p w:rsidR="008F129A" w:rsidRDefault="008F129A">
      <w:pPr>
        <w:pStyle w:val="BodyText"/>
      </w:pPr>
    </w:p>
    <w:p w:rsidR="008F129A" w:rsidRDefault="0005121F">
      <w:pPr>
        <w:ind w:left="300"/>
        <w:rPr>
          <w:sz w:val="24"/>
        </w:rPr>
      </w:pPr>
      <w:r>
        <w:rPr>
          <w:b/>
          <w:sz w:val="24"/>
          <w:u w:val="single"/>
        </w:rPr>
        <w:t>DEFINITIONS</w:t>
      </w:r>
      <w:r>
        <w:rPr>
          <w:b/>
          <w:sz w:val="24"/>
        </w:rPr>
        <w:t xml:space="preserve">: </w:t>
      </w:r>
      <w:r>
        <w:rPr>
          <w:sz w:val="24"/>
        </w:rPr>
        <w:t>As noted below in Po</w:t>
      </w:r>
      <w:r>
        <w:rPr>
          <w:sz w:val="24"/>
        </w:rPr>
        <w:t>licy Section.</w:t>
      </w:r>
    </w:p>
    <w:p w:rsidR="008F129A" w:rsidRDefault="008F129A">
      <w:pPr>
        <w:pStyle w:val="BodyText"/>
        <w:rPr>
          <w:sz w:val="16"/>
        </w:rPr>
      </w:pPr>
    </w:p>
    <w:p w:rsidR="008F129A" w:rsidRDefault="0005121F">
      <w:pPr>
        <w:pStyle w:val="Heading1"/>
      </w:pPr>
      <w:r>
        <w:rPr>
          <w:u w:val="single"/>
        </w:rPr>
        <w:t>POLICY</w:t>
      </w:r>
      <w:r>
        <w:t>:</w:t>
      </w:r>
    </w:p>
    <w:p w:rsidR="008F129A" w:rsidRDefault="008F129A">
      <w:pPr>
        <w:pStyle w:val="BodyText"/>
        <w:spacing w:before="11"/>
        <w:rPr>
          <w:b/>
          <w:sz w:val="15"/>
        </w:rPr>
      </w:pPr>
    </w:p>
    <w:p w:rsidR="008F129A" w:rsidRDefault="0005121F">
      <w:pPr>
        <w:pStyle w:val="ListParagraph"/>
        <w:numPr>
          <w:ilvl w:val="0"/>
          <w:numId w:val="2"/>
        </w:numPr>
        <w:tabs>
          <w:tab w:val="left" w:pos="660"/>
        </w:tabs>
        <w:spacing w:before="92"/>
        <w:ind w:right="300"/>
        <w:rPr>
          <w:sz w:val="24"/>
        </w:rPr>
      </w:pPr>
      <w:r>
        <w:rPr>
          <w:sz w:val="24"/>
        </w:rPr>
        <w:t>The jurisdiction of the IRB extends to all “research” as defined in regulations promulgated by the Office of Human Research Protection (OHRP) and the food and Drug Administration</w:t>
      </w:r>
      <w:r>
        <w:rPr>
          <w:spacing w:val="-17"/>
          <w:sz w:val="24"/>
        </w:rPr>
        <w:t xml:space="preserve"> </w:t>
      </w:r>
      <w:r>
        <w:rPr>
          <w:sz w:val="24"/>
        </w:rPr>
        <w:t>(FDA).</w:t>
      </w:r>
    </w:p>
    <w:p w:rsidR="008F129A" w:rsidRDefault="0005121F">
      <w:pPr>
        <w:pStyle w:val="ListParagraph"/>
        <w:numPr>
          <w:ilvl w:val="1"/>
          <w:numId w:val="2"/>
        </w:numPr>
        <w:tabs>
          <w:tab w:val="left" w:pos="1380"/>
        </w:tabs>
        <w:ind w:right="350"/>
        <w:rPr>
          <w:sz w:val="24"/>
        </w:rPr>
      </w:pPr>
      <w:r>
        <w:rPr>
          <w:sz w:val="24"/>
        </w:rPr>
        <w:t>“Research” is defined in OHRP regulations as “a systematic investigation, including research development, testing and evaluation, designed to develop or contribute to generalizable knowledge.” “Human subjects” are defined as “living individual(s) about who</w:t>
      </w:r>
      <w:r>
        <w:rPr>
          <w:sz w:val="24"/>
        </w:rPr>
        <w:t>m an investigator (whether</w:t>
      </w:r>
      <w:r>
        <w:rPr>
          <w:spacing w:val="-6"/>
          <w:sz w:val="24"/>
        </w:rPr>
        <w:t xml:space="preserve"> </w:t>
      </w:r>
      <w:r>
        <w:rPr>
          <w:sz w:val="24"/>
        </w:rPr>
        <w:t>professional</w:t>
      </w:r>
      <w:r>
        <w:rPr>
          <w:spacing w:val="-6"/>
          <w:sz w:val="24"/>
        </w:rPr>
        <w:t xml:space="preserve"> </w:t>
      </w:r>
      <w:r>
        <w:rPr>
          <w:sz w:val="24"/>
        </w:rPr>
        <w:t>or</w:t>
      </w:r>
      <w:r>
        <w:rPr>
          <w:spacing w:val="-6"/>
          <w:sz w:val="24"/>
        </w:rPr>
        <w:t xml:space="preserve"> </w:t>
      </w:r>
      <w:r>
        <w:rPr>
          <w:sz w:val="24"/>
        </w:rPr>
        <w:t>student)</w:t>
      </w:r>
      <w:r>
        <w:rPr>
          <w:spacing w:val="-6"/>
          <w:sz w:val="24"/>
        </w:rPr>
        <w:t xml:space="preserve"> </w:t>
      </w:r>
      <w:r>
        <w:rPr>
          <w:sz w:val="24"/>
        </w:rPr>
        <w:t>conducting</w:t>
      </w:r>
      <w:r>
        <w:rPr>
          <w:spacing w:val="-6"/>
          <w:sz w:val="24"/>
        </w:rPr>
        <w:t xml:space="preserve"> </w:t>
      </w:r>
      <w:r>
        <w:rPr>
          <w:sz w:val="24"/>
        </w:rPr>
        <w:t>research</w:t>
      </w:r>
      <w:r>
        <w:rPr>
          <w:spacing w:val="-6"/>
          <w:sz w:val="24"/>
        </w:rPr>
        <w:t xml:space="preserve"> </w:t>
      </w:r>
      <w:r>
        <w:rPr>
          <w:sz w:val="24"/>
        </w:rPr>
        <w:t>obtains</w:t>
      </w:r>
      <w:r>
        <w:rPr>
          <w:spacing w:val="-5"/>
          <w:sz w:val="24"/>
        </w:rPr>
        <w:t xml:space="preserve"> </w:t>
      </w:r>
      <w:r>
        <w:rPr>
          <w:sz w:val="24"/>
        </w:rPr>
        <w:t>(1)</w:t>
      </w:r>
      <w:r>
        <w:rPr>
          <w:spacing w:val="-6"/>
          <w:sz w:val="24"/>
        </w:rPr>
        <w:t xml:space="preserve"> </w:t>
      </w:r>
      <w:r>
        <w:rPr>
          <w:sz w:val="24"/>
        </w:rPr>
        <w:t>data</w:t>
      </w:r>
      <w:r>
        <w:rPr>
          <w:spacing w:val="-6"/>
          <w:sz w:val="24"/>
        </w:rPr>
        <w:t xml:space="preserve"> </w:t>
      </w:r>
      <w:r>
        <w:rPr>
          <w:sz w:val="24"/>
        </w:rPr>
        <w:t>through</w:t>
      </w:r>
      <w:r>
        <w:rPr>
          <w:spacing w:val="-6"/>
          <w:sz w:val="24"/>
        </w:rPr>
        <w:t xml:space="preserve"> </w:t>
      </w:r>
      <w:r>
        <w:rPr>
          <w:sz w:val="24"/>
        </w:rPr>
        <w:t>intervention</w:t>
      </w:r>
      <w:r>
        <w:rPr>
          <w:spacing w:val="-6"/>
          <w:sz w:val="24"/>
        </w:rPr>
        <w:t xml:space="preserve"> </w:t>
      </w:r>
      <w:r>
        <w:rPr>
          <w:sz w:val="24"/>
        </w:rPr>
        <w:t>or interaction with the individual, or (2) identifiable private</w:t>
      </w:r>
      <w:r>
        <w:rPr>
          <w:spacing w:val="-9"/>
          <w:sz w:val="24"/>
        </w:rPr>
        <w:t xml:space="preserve"> </w:t>
      </w:r>
      <w:r>
        <w:rPr>
          <w:sz w:val="24"/>
        </w:rPr>
        <w:t>information.”</w:t>
      </w:r>
    </w:p>
    <w:p w:rsidR="008F129A" w:rsidRDefault="0005121F">
      <w:pPr>
        <w:pStyle w:val="ListParagraph"/>
        <w:numPr>
          <w:ilvl w:val="1"/>
          <w:numId w:val="2"/>
        </w:numPr>
        <w:tabs>
          <w:tab w:val="left" w:pos="1380"/>
        </w:tabs>
        <w:ind w:right="226"/>
        <w:rPr>
          <w:sz w:val="24"/>
        </w:rPr>
      </w:pPr>
      <w:r>
        <w:rPr>
          <w:sz w:val="24"/>
        </w:rPr>
        <w:t>“Research” is defined in FDA regulations as “any experiment that inv</w:t>
      </w:r>
      <w:r>
        <w:rPr>
          <w:sz w:val="24"/>
        </w:rPr>
        <w:t>olves a test article and one or more human subjects, and that either must meet the requirements for prior submission to the Food and Drug Administration under section 505(i) or 520(g) of the act, or need not meet the requirements for prior submission to th</w:t>
      </w:r>
      <w:r>
        <w:rPr>
          <w:sz w:val="24"/>
        </w:rPr>
        <w:t>e Food and Drug Administration under these sections of the act, but the results of which are intended to be later submitted to, or held for inspection by, the Food and Drug Administration as part of an application for a research or marketing</w:t>
      </w:r>
      <w:r>
        <w:rPr>
          <w:spacing w:val="-1"/>
          <w:sz w:val="24"/>
        </w:rPr>
        <w:t xml:space="preserve"> </w:t>
      </w:r>
      <w:r>
        <w:rPr>
          <w:sz w:val="24"/>
        </w:rPr>
        <w:t>permit.”</w:t>
      </w:r>
    </w:p>
    <w:p w:rsidR="008F129A" w:rsidRDefault="008F129A">
      <w:pPr>
        <w:pStyle w:val="BodyText"/>
      </w:pPr>
    </w:p>
    <w:p w:rsidR="008F129A" w:rsidRDefault="0005121F">
      <w:pPr>
        <w:pStyle w:val="ListParagraph"/>
        <w:numPr>
          <w:ilvl w:val="0"/>
          <w:numId w:val="2"/>
        </w:numPr>
        <w:tabs>
          <w:tab w:val="left" w:pos="660"/>
        </w:tabs>
        <w:ind w:right="389"/>
        <w:rPr>
          <w:sz w:val="24"/>
        </w:rPr>
      </w:pPr>
      <w:r>
        <w:rPr>
          <w:sz w:val="24"/>
        </w:rPr>
        <w:t xml:space="preserve">The </w:t>
      </w:r>
      <w:r>
        <w:rPr>
          <w:sz w:val="24"/>
        </w:rPr>
        <w:t xml:space="preserve">IRB may agree to review clinical investigations from investigators who are affiliated or unaffiliated with a PPMH facility. If an investigator is unaffiliated, he/she must include a member of the PPMH medical staff or an allied health care professional as </w:t>
      </w:r>
      <w:r>
        <w:rPr>
          <w:sz w:val="24"/>
        </w:rPr>
        <w:t>part of his/her investigative team for the IRB to agree to review the</w:t>
      </w:r>
      <w:r>
        <w:rPr>
          <w:spacing w:val="-1"/>
          <w:sz w:val="24"/>
        </w:rPr>
        <w:t xml:space="preserve"> </w:t>
      </w:r>
      <w:r>
        <w:rPr>
          <w:sz w:val="24"/>
        </w:rPr>
        <w:t>study.</w:t>
      </w:r>
    </w:p>
    <w:p w:rsidR="008F129A" w:rsidRDefault="008F129A">
      <w:pPr>
        <w:rPr>
          <w:sz w:val="24"/>
        </w:rPr>
        <w:sectPr w:rsidR="008F129A">
          <w:footerReference w:type="default" r:id="rId7"/>
          <w:type w:val="continuous"/>
          <w:pgSz w:w="12240" w:h="15840"/>
          <w:pgMar w:top="1360" w:right="1220" w:bottom="1520" w:left="1140" w:header="720" w:footer="1338" w:gutter="0"/>
          <w:pgNumType w:start="1"/>
          <w:cols w:space="720"/>
        </w:sectPr>
      </w:pPr>
    </w:p>
    <w:p w:rsidR="008F129A" w:rsidRDefault="0005121F">
      <w:pPr>
        <w:pStyle w:val="ListParagraph"/>
        <w:numPr>
          <w:ilvl w:val="0"/>
          <w:numId w:val="2"/>
        </w:numPr>
        <w:tabs>
          <w:tab w:val="left" w:pos="660"/>
        </w:tabs>
        <w:spacing w:before="79"/>
        <w:ind w:right="496"/>
        <w:rPr>
          <w:sz w:val="24"/>
        </w:rPr>
      </w:pPr>
      <w:r>
        <w:rPr>
          <w:sz w:val="24"/>
        </w:rPr>
        <w:lastRenderedPageBreak/>
        <w:t>All research under the jurisdiction of the IRB shall be reviewed and approved by the IRB prior to enrolling subjects unless the IRB has (1) specifically exempted the research study from review or (2) has deferred full IRB review based on prior review and a</w:t>
      </w:r>
      <w:r>
        <w:rPr>
          <w:sz w:val="24"/>
        </w:rPr>
        <w:t>pproval by a non-local IRB. [See related PPMH policies, “Exempt Review” and “Non-local IRB</w:t>
      </w:r>
      <w:r>
        <w:rPr>
          <w:spacing w:val="-5"/>
          <w:sz w:val="24"/>
        </w:rPr>
        <w:t xml:space="preserve"> </w:t>
      </w:r>
      <w:r>
        <w:rPr>
          <w:sz w:val="24"/>
        </w:rPr>
        <w:t>Review”]</w:t>
      </w:r>
    </w:p>
    <w:p w:rsidR="008F129A" w:rsidRDefault="008F129A">
      <w:pPr>
        <w:pStyle w:val="BodyText"/>
        <w:spacing w:before="11"/>
        <w:rPr>
          <w:sz w:val="23"/>
        </w:rPr>
      </w:pPr>
    </w:p>
    <w:p w:rsidR="008F129A" w:rsidRDefault="0005121F">
      <w:pPr>
        <w:pStyle w:val="ListParagraph"/>
        <w:numPr>
          <w:ilvl w:val="0"/>
          <w:numId w:val="2"/>
        </w:numPr>
        <w:tabs>
          <w:tab w:val="left" w:pos="660"/>
        </w:tabs>
        <w:rPr>
          <w:sz w:val="24"/>
        </w:rPr>
      </w:pPr>
      <w:r>
        <w:rPr>
          <w:sz w:val="24"/>
        </w:rPr>
        <w:t>The IRB shall have the authority and responsibility</w:t>
      </w:r>
      <w:r>
        <w:rPr>
          <w:spacing w:val="-4"/>
          <w:sz w:val="24"/>
        </w:rPr>
        <w:t xml:space="preserve"> </w:t>
      </w:r>
      <w:r>
        <w:rPr>
          <w:sz w:val="24"/>
        </w:rPr>
        <w:t>to:</w:t>
      </w:r>
    </w:p>
    <w:p w:rsidR="008F129A" w:rsidRDefault="0005121F">
      <w:pPr>
        <w:pStyle w:val="ListParagraph"/>
        <w:numPr>
          <w:ilvl w:val="1"/>
          <w:numId w:val="2"/>
        </w:numPr>
        <w:tabs>
          <w:tab w:val="left" w:pos="1380"/>
        </w:tabs>
        <w:spacing w:before="1"/>
        <w:ind w:right="497"/>
        <w:rPr>
          <w:sz w:val="24"/>
        </w:rPr>
      </w:pPr>
      <w:r>
        <w:rPr>
          <w:sz w:val="24"/>
        </w:rPr>
        <w:t>Approve, require modifications in, or disapprove all research activities that fall within its juris</w:t>
      </w:r>
      <w:r>
        <w:rPr>
          <w:sz w:val="24"/>
        </w:rPr>
        <w:t>diction. If a protocol is disapproved, the applicant has the right to appeal the decision to the IRB for reconsideration. Administrative approval may not be given for research that has been disapproved by the</w:t>
      </w:r>
      <w:r>
        <w:rPr>
          <w:spacing w:val="-1"/>
          <w:sz w:val="24"/>
        </w:rPr>
        <w:t xml:space="preserve"> </w:t>
      </w:r>
      <w:r>
        <w:rPr>
          <w:sz w:val="24"/>
        </w:rPr>
        <w:t>IRB.</w:t>
      </w:r>
    </w:p>
    <w:p w:rsidR="008F129A" w:rsidRDefault="0005121F">
      <w:pPr>
        <w:pStyle w:val="ListParagraph"/>
        <w:numPr>
          <w:ilvl w:val="1"/>
          <w:numId w:val="2"/>
        </w:numPr>
        <w:tabs>
          <w:tab w:val="left" w:pos="1380"/>
        </w:tabs>
        <w:ind w:right="314"/>
        <w:rPr>
          <w:sz w:val="24"/>
        </w:rPr>
      </w:pPr>
      <w:r>
        <w:rPr>
          <w:sz w:val="24"/>
        </w:rPr>
        <w:t>Suspend</w:t>
      </w:r>
      <w:r>
        <w:rPr>
          <w:spacing w:val="-5"/>
          <w:sz w:val="24"/>
        </w:rPr>
        <w:t xml:space="preserve"> </w:t>
      </w:r>
      <w:r>
        <w:rPr>
          <w:sz w:val="24"/>
        </w:rPr>
        <w:t>or</w:t>
      </w:r>
      <w:r>
        <w:rPr>
          <w:spacing w:val="-5"/>
          <w:sz w:val="24"/>
        </w:rPr>
        <w:t xml:space="preserve"> </w:t>
      </w:r>
      <w:r>
        <w:rPr>
          <w:sz w:val="24"/>
        </w:rPr>
        <w:t>terminate</w:t>
      </w:r>
      <w:r>
        <w:rPr>
          <w:spacing w:val="-4"/>
          <w:sz w:val="24"/>
        </w:rPr>
        <w:t xml:space="preserve"> </w:t>
      </w:r>
      <w:r>
        <w:rPr>
          <w:sz w:val="24"/>
        </w:rPr>
        <w:t>research</w:t>
      </w:r>
      <w:r>
        <w:rPr>
          <w:spacing w:val="-5"/>
          <w:sz w:val="24"/>
        </w:rPr>
        <w:t xml:space="preserve"> </w:t>
      </w:r>
      <w:r>
        <w:rPr>
          <w:sz w:val="24"/>
        </w:rPr>
        <w:t>that</w:t>
      </w:r>
      <w:r>
        <w:rPr>
          <w:spacing w:val="-5"/>
          <w:sz w:val="24"/>
        </w:rPr>
        <w:t xml:space="preserve"> </w:t>
      </w:r>
      <w:r>
        <w:rPr>
          <w:sz w:val="24"/>
        </w:rPr>
        <w:t>is</w:t>
      </w:r>
      <w:r>
        <w:rPr>
          <w:spacing w:val="-4"/>
          <w:sz w:val="24"/>
        </w:rPr>
        <w:t xml:space="preserve"> </w:t>
      </w:r>
      <w:r>
        <w:rPr>
          <w:sz w:val="24"/>
        </w:rPr>
        <w:t>not</w:t>
      </w:r>
      <w:r>
        <w:rPr>
          <w:spacing w:val="-5"/>
          <w:sz w:val="24"/>
        </w:rPr>
        <w:t xml:space="preserve"> </w:t>
      </w:r>
      <w:r>
        <w:rPr>
          <w:sz w:val="24"/>
        </w:rPr>
        <w:t>being</w:t>
      </w:r>
      <w:r>
        <w:rPr>
          <w:spacing w:val="-5"/>
          <w:sz w:val="24"/>
        </w:rPr>
        <w:t xml:space="preserve"> </w:t>
      </w:r>
      <w:r>
        <w:rPr>
          <w:sz w:val="24"/>
        </w:rPr>
        <w:t>conducted</w:t>
      </w:r>
      <w:r>
        <w:rPr>
          <w:spacing w:val="-4"/>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4"/>
          <w:sz w:val="24"/>
        </w:rPr>
        <w:t xml:space="preserve"> </w:t>
      </w:r>
      <w:r>
        <w:rPr>
          <w:sz w:val="24"/>
        </w:rPr>
        <w:t>applicable</w:t>
      </w:r>
      <w:r>
        <w:rPr>
          <w:spacing w:val="-5"/>
          <w:sz w:val="24"/>
        </w:rPr>
        <w:t xml:space="preserve"> </w:t>
      </w:r>
      <w:r>
        <w:rPr>
          <w:sz w:val="24"/>
        </w:rPr>
        <w:t>laws and IRB or institutional policies, or that has been associated with unexpected serious harm to subjects.</w:t>
      </w:r>
    </w:p>
    <w:p w:rsidR="008F129A" w:rsidRDefault="0005121F">
      <w:pPr>
        <w:pStyle w:val="ListParagraph"/>
        <w:numPr>
          <w:ilvl w:val="1"/>
          <w:numId w:val="2"/>
        </w:numPr>
        <w:tabs>
          <w:tab w:val="left" w:pos="1379"/>
          <w:tab w:val="left" w:pos="1380"/>
        </w:tabs>
        <w:ind w:right="379"/>
        <w:rPr>
          <w:sz w:val="24"/>
        </w:rPr>
      </w:pPr>
      <w:r>
        <w:rPr>
          <w:sz w:val="24"/>
        </w:rPr>
        <w:t>Provide ongoing oversight of approved research studies, which may include, but is not limited to: co</w:t>
      </w:r>
      <w:r>
        <w:rPr>
          <w:sz w:val="24"/>
        </w:rPr>
        <w:t>nducting audits, investigating complaints, reviewing reported protocol deviations and/or reports of scientific misconduct, and requiring third-party</w:t>
      </w:r>
      <w:r>
        <w:rPr>
          <w:spacing w:val="-5"/>
          <w:sz w:val="24"/>
        </w:rPr>
        <w:t xml:space="preserve"> </w:t>
      </w:r>
      <w:r>
        <w:rPr>
          <w:sz w:val="24"/>
        </w:rPr>
        <w:t>verification.</w:t>
      </w:r>
    </w:p>
    <w:p w:rsidR="008F129A" w:rsidRDefault="0005121F">
      <w:pPr>
        <w:pStyle w:val="ListParagraph"/>
        <w:numPr>
          <w:ilvl w:val="1"/>
          <w:numId w:val="2"/>
        </w:numPr>
        <w:tabs>
          <w:tab w:val="left" w:pos="1380"/>
        </w:tabs>
        <w:ind w:right="478"/>
        <w:rPr>
          <w:sz w:val="24"/>
        </w:rPr>
      </w:pPr>
      <w:r>
        <w:rPr>
          <w:sz w:val="24"/>
        </w:rPr>
        <w:t>Ensure prompt reporting to the FDA and other authorities, as appropriate, of: (1) any unanticipated problems involving risks to subjects or others; or (2) any instance of serious or continuing noncompliance by an investigator; or (3) any suspension or term</w:t>
      </w:r>
      <w:r>
        <w:rPr>
          <w:sz w:val="24"/>
        </w:rPr>
        <w:t>ination of IRB approval. [See related PPMH policy, “External</w:t>
      </w:r>
      <w:r>
        <w:rPr>
          <w:spacing w:val="-6"/>
          <w:sz w:val="24"/>
        </w:rPr>
        <w:t xml:space="preserve"> </w:t>
      </w:r>
      <w:r>
        <w:rPr>
          <w:sz w:val="24"/>
        </w:rPr>
        <w:t>Reporting”]</w:t>
      </w:r>
    </w:p>
    <w:p w:rsidR="008F129A" w:rsidRDefault="0005121F">
      <w:pPr>
        <w:pStyle w:val="ListParagraph"/>
        <w:numPr>
          <w:ilvl w:val="1"/>
          <w:numId w:val="2"/>
        </w:numPr>
        <w:tabs>
          <w:tab w:val="left" w:pos="1380"/>
        </w:tabs>
        <w:ind w:right="337"/>
        <w:rPr>
          <w:sz w:val="24"/>
        </w:rPr>
      </w:pPr>
      <w:r>
        <w:rPr>
          <w:sz w:val="24"/>
        </w:rPr>
        <w:t>Request any documentation and information it deems necessary beyond the protocol and sample informed consent form, such as budgets and grant applications. The IRB will notify all inve</w:t>
      </w:r>
      <w:r>
        <w:rPr>
          <w:sz w:val="24"/>
        </w:rPr>
        <w:t>stigators via email or other method of the requested</w:t>
      </w:r>
      <w:r>
        <w:rPr>
          <w:spacing w:val="-11"/>
          <w:sz w:val="24"/>
        </w:rPr>
        <w:t xml:space="preserve"> </w:t>
      </w:r>
      <w:r>
        <w:rPr>
          <w:sz w:val="24"/>
        </w:rPr>
        <w:t>documentation.</w:t>
      </w:r>
    </w:p>
    <w:p w:rsidR="008F129A" w:rsidRDefault="008F129A">
      <w:pPr>
        <w:pStyle w:val="BodyText"/>
      </w:pPr>
    </w:p>
    <w:p w:rsidR="008F129A" w:rsidRDefault="0005121F">
      <w:pPr>
        <w:pStyle w:val="ListParagraph"/>
        <w:numPr>
          <w:ilvl w:val="0"/>
          <w:numId w:val="2"/>
        </w:numPr>
        <w:tabs>
          <w:tab w:val="left" w:pos="660"/>
        </w:tabs>
        <w:ind w:right="456"/>
        <w:jc w:val="both"/>
        <w:rPr>
          <w:sz w:val="24"/>
        </w:rPr>
      </w:pPr>
      <w:r>
        <w:rPr>
          <w:sz w:val="24"/>
        </w:rPr>
        <w:t>The</w:t>
      </w:r>
      <w:r>
        <w:rPr>
          <w:spacing w:val="-4"/>
          <w:sz w:val="24"/>
        </w:rPr>
        <w:t xml:space="preserve"> </w:t>
      </w:r>
      <w:r>
        <w:rPr>
          <w:sz w:val="24"/>
        </w:rPr>
        <w:t>IRB</w:t>
      </w:r>
      <w:r>
        <w:rPr>
          <w:spacing w:val="-4"/>
          <w:sz w:val="24"/>
        </w:rPr>
        <w:t xml:space="preserve"> </w:t>
      </w:r>
      <w:r>
        <w:rPr>
          <w:sz w:val="24"/>
        </w:rPr>
        <w:t>Chair</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member(s)</w:t>
      </w:r>
      <w:r>
        <w:rPr>
          <w:spacing w:val="-3"/>
          <w:sz w:val="24"/>
        </w:rPr>
        <w:t xml:space="preserve"> </w:t>
      </w:r>
      <w:r>
        <w:rPr>
          <w:sz w:val="24"/>
        </w:rPr>
        <w:t>designated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IRB</w:t>
      </w:r>
      <w:r>
        <w:rPr>
          <w:spacing w:val="-4"/>
          <w:sz w:val="24"/>
        </w:rPr>
        <w:t xml:space="preserve"> </w:t>
      </w:r>
      <w:r>
        <w:rPr>
          <w:sz w:val="24"/>
        </w:rPr>
        <w:t>Chair</w:t>
      </w:r>
      <w:r>
        <w:rPr>
          <w:spacing w:val="-3"/>
          <w:sz w:val="24"/>
        </w:rPr>
        <w:t xml:space="preserve"> </w:t>
      </w:r>
      <w:r>
        <w:rPr>
          <w:sz w:val="24"/>
        </w:rPr>
        <w:t>to</w:t>
      </w:r>
      <w:r>
        <w:rPr>
          <w:spacing w:val="-4"/>
          <w:sz w:val="24"/>
        </w:rPr>
        <w:t xml:space="preserve"> </w:t>
      </w:r>
      <w:r>
        <w:rPr>
          <w:sz w:val="24"/>
        </w:rPr>
        <w:t>conduct</w:t>
      </w:r>
      <w:r>
        <w:rPr>
          <w:spacing w:val="-4"/>
          <w:sz w:val="24"/>
        </w:rPr>
        <w:t xml:space="preserve"> </w:t>
      </w:r>
      <w:r>
        <w:rPr>
          <w:sz w:val="24"/>
        </w:rPr>
        <w:t>expedited</w:t>
      </w:r>
      <w:r>
        <w:rPr>
          <w:spacing w:val="-4"/>
          <w:sz w:val="24"/>
        </w:rPr>
        <w:t xml:space="preserve"> </w:t>
      </w:r>
      <w:r>
        <w:rPr>
          <w:sz w:val="24"/>
        </w:rPr>
        <w:t>review</w:t>
      </w:r>
      <w:r>
        <w:rPr>
          <w:spacing w:val="-4"/>
          <w:sz w:val="24"/>
        </w:rPr>
        <w:t xml:space="preserve"> </w:t>
      </w:r>
      <w:r>
        <w:rPr>
          <w:sz w:val="24"/>
        </w:rPr>
        <w:t>or</w:t>
      </w:r>
      <w:r>
        <w:rPr>
          <w:spacing w:val="-3"/>
          <w:sz w:val="24"/>
        </w:rPr>
        <w:t xml:space="preserve"> </w:t>
      </w:r>
      <w:r>
        <w:rPr>
          <w:sz w:val="24"/>
        </w:rPr>
        <w:t>make determinations of exemption shall have all the authority of the IRB in 4.a., except that r</w:t>
      </w:r>
      <w:r>
        <w:rPr>
          <w:sz w:val="24"/>
        </w:rPr>
        <w:t>eviewers may not disapprove a study under expedited review</w:t>
      </w:r>
      <w:r>
        <w:rPr>
          <w:spacing w:val="-4"/>
          <w:sz w:val="24"/>
        </w:rPr>
        <w:t xml:space="preserve"> </w:t>
      </w:r>
      <w:r>
        <w:rPr>
          <w:sz w:val="24"/>
        </w:rPr>
        <w:t>procedures.</w:t>
      </w:r>
    </w:p>
    <w:p w:rsidR="008F129A" w:rsidRDefault="008F129A">
      <w:pPr>
        <w:pStyle w:val="BodyText"/>
      </w:pPr>
    </w:p>
    <w:p w:rsidR="008F129A" w:rsidRDefault="0005121F">
      <w:pPr>
        <w:pStyle w:val="ListParagraph"/>
        <w:numPr>
          <w:ilvl w:val="0"/>
          <w:numId w:val="2"/>
        </w:numPr>
        <w:tabs>
          <w:tab w:val="left" w:pos="660"/>
        </w:tabs>
        <w:ind w:right="737"/>
        <w:jc w:val="both"/>
        <w:rPr>
          <w:sz w:val="24"/>
        </w:rPr>
      </w:pPr>
      <w:r>
        <w:rPr>
          <w:sz w:val="24"/>
        </w:rPr>
        <w:t>Research that has been approved by the IRB shall still be subject to other reviews and approvals required by PPMH (e.g., legal, nursing, facility and/or finance reviews). PPMH may not, however, approve research that has been disapproved by the</w:t>
      </w:r>
      <w:r>
        <w:rPr>
          <w:spacing w:val="-6"/>
          <w:sz w:val="24"/>
        </w:rPr>
        <w:t xml:space="preserve"> </w:t>
      </w:r>
      <w:r>
        <w:rPr>
          <w:sz w:val="24"/>
        </w:rPr>
        <w:t>IRB.</w:t>
      </w:r>
    </w:p>
    <w:p w:rsidR="008F129A" w:rsidRDefault="008F129A">
      <w:pPr>
        <w:pStyle w:val="BodyText"/>
      </w:pPr>
    </w:p>
    <w:p w:rsidR="008F129A" w:rsidRDefault="0005121F">
      <w:pPr>
        <w:pStyle w:val="ListParagraph"/>
        <w:numPr>
          <w:ilvl w:val="0"/>
          <w:numId w:val="2"/>
        </w:numPr>
        <w:tabs>
          <w:tab w:val="left" w:pos="660"/>
        </w:tabs>
        <w:ind w:right="259"/>
        <w:rPr>
          <w:sz w:val="24"/>
        </w:rPr>
      </w:pPr>
      <w:r>
        <w:rPr>
          <w:sz w:val="24"/>
        </w:rPr>
        <w:t>The Ho</w:t>
      </w:r>
      <w:r>
        <w:rPr>
          <w:sz w:val="24"/>
        </w:rPr>
        <w:t>spital’s Chief Operating Officer serves as the Institutional Official for all purposes under the federal research regulations. As Institutional Official, this individual is specifically responsible for ensuring PPMH’s compliance with applicable laws, regul</w:t>
      </w:r>
      <w:r>
        <w:rPr>
          <w:sz w:val="24"/>
        </w:rPr>
        <w:t>ations, and institutional policies governing human</w:t>
      </w:r>
      <w:r>
        <w:rPr>
          <w:spacing w:val="-5"/>
          <w:sz w:val="24"/>
        </w:rPr>
        <w:t xml:space="preserve"> </w:t>
      </w:r>
      <w:r>
        <w:rPr>
          <w:sz w:val="24"/>
        </w:rPr>
        <w:t>subject</w:t>
      </w:r>
      <w:r>
        <w:rPr>
          <w:spacing w:val="-5"/>
          <w:sz w:val="24"/>
        </w:rPr>
        <w:t xml:space="preserve"> </w:t>
      </w:r>
      <w:r>
        <w:rPr>
          <w:sz w:val="24"/>
        </w:rPr>
        <w:t>research</w:t>
      </w:r>
      <w:r>
        <w:rPr>
          <w:spacing w:val="-5"/>
          <w:sz w:val="24"/>
        </w:rPr>
        <w:t xml:space="preserve"> </w:t>
      </w:r>
      <w:r>
        <w:rPr>
          <w:sz w:val="24"/>
        </w:rPr>
        <w:t>and</w:t>
      </w:r>
      <w:r>
        <w:rPr>
          <w:spacing w:val="-4"/>
          <w:sz w:val="24"/>
        </w:rPr>
        <w:t xml:space="preserve"> </w:t>
      </w:r>
      <w:r>
        <w:rPr>
          <w:sz w:val="24"/>
        </w:rPr>
        <w:t>with</w:t>
      </w:r>
      <w:r>
        <w:rPr>
          <w:spacing w:val="-5"/>
          <w:sz w:val="24"/>
        </w:rPr>
        <w:t xml:space="preserve"> </w:t>
      </w:r>
      <w:r>
        <w:rPr>
          <w:sz w:val="24"/>
        </w:rPr>
        <w:t>ensuring</w:t>
      </w:r>
      <w:r>
        <w:rPr>
          <w:spacing w:val="-5"/>
          <w:sz w:val="24"/>
        </w:rPr>
        <w:t xml:space="preserve"> </w:t>
      </w:r>
      <w:r>
        <w:rPr>
          <w:sz w:val="24"/>
        </w:rPr>
        <w:t>that</w:t>
      </w:r>
      <w:r>
        <w:rPr>
          <w:spacing w:val="-5"/>
          <w:sz w:val="24"/>
        </w:rPr>
        <w:t xml:space="preserve"> </w:t>
      </w:r>
      <w:r>
        <w:rPr>
          <w:sz w:val="24"/>
        </w:rPr>
        <w:t>the</w:t>
      </w:r>
      <w:r>
        <w:rPr>
          <w:spacing w:val="-3"/>
          <w:sz w:val="24"/>
        </w:rPr>
        <w:t xml:space="preserve"> </w:t>
      </w:r>
      <w:r>
        <w:rPr>
          <w:sz w:val="24"/>
        </w:rPr>
        <w:t>institution</w:t>
      </w:r>
      <w:r>
        <w:rPr>
          <w:spacing w:val="-5"/>
          <w:sz w:val="24"/>
        </w:rPr>
        <w:t xml:space="preserve"> </w:t>
      </w:r>
      <w:r>
        <w:rPr>
          <w:sz w:val="24"/>
        </w:rPr>
        <w:t>has</w:t>
      </w:r>
      <w:r>
        <w:rPr>
          <w:spacing w:val="-5"/>
          <w:sz w:val="24"/>
        </w:rPr>
        <w:t xml:space="preserve"> </w:t>
      </w:r>
      <w:r>
        <w:rPr>
          <w:sz w:val="24"/>
        </w:rPr>
        <w:t>the</w:t>
      </w:r>
      <w:r>
        <w:rPr>
          <w:spacing w:val="-4"/>
          <w:sz w:val="24"/>
        </w:rPr>
        <w:t xml:space="preserve"> </w:t>
      </w:r>
      <w:r>
        <w:rPr>
          <w:sz w:val="24"/>
        </w:rPr>
        <w:t>resources</w:t>
      </w:r>
      <w:r>
        <w:rPr>
          <w:spacing w:val="-5"/>
          <w:sz w:val="24"/>
        </w:rPr>
        <w:t xml:space="preserve"> </w:t>
      </w:r>
      <w:r>
        <w:rPr>
          <w:sz w:val="24"/>
        </w:rPr>
        <w:t>and</w:t>
      </w:r>
      <w:r>
        <w:rPr>
          <w:spacing w:val="-5"/>
          <w:sz w:val="24"/>
        </w:rPr>
        <w:t xml:space="preserve"> </w:t>
      </w:r>
      <w:r>
        <w:rPr>
          <w:sz w:val="24"/>
        </w:rPr>
        <w:t>support</w:t>
      </w:r>
      <w:r>
        <w:rPr>
          <w:spacing w:val="-5"/>
          <w:sz w:val="24"/>
        </w:rPr>
        <w:t xml:space="preserve"> </w:t>
      </w:r>
      <w:r>
        <w:rPr>
          <w:sz w:val="24"/>
        </w:rPr>
        <w:t>necessary to achieve this compliance. The Institutional Officer is legally authorized to represent PPMH with respect to</w:t>
      </w:r>
      <w:r>
        <w:rPr>
          <w:sz w:val="24"/>
        </w:rPr>
        <w:t xml:space="preserve"> matters of research compliance, is the signatory of the Federalwide Assurance (FWA), and ensures that the institution meets the obligations of the FWA. The Institutional Official also holds ultimate responsibility for ensuring and supporting the authority</w:t>
      </w:r>
      <w:r>
        <w:rPr>
          <w:sz w:val="24"/>
        </w:rPr>
        <w:t xml:space="preserve"> and independence of the</w:t>
      </w:r>
      <w:r>
        <w:rPr>
          <w:spacing w:val="-28"/>
          <w:sz w:val="24"/>
        </w:rPr>
        <w:t xml:space="preserve"> </w:t>
      </w:r>
      <w:r>
        <w:rPr>
          <w:sz w:val="24"/>
        </w:rPr>
        <w:t>IRB.</w:t>
      </w:r>
    </w:p>
    <w:p w:rsidR="008F129A" w:rsidRDefault="008F129A">
      <w:pPr>
        <w:pStyle w:val="BodyText"/>
        <w:rPr>
          <w:sz w:val="26"/>
        </w:rPr>
      </w:pPr>
    </w:p>
    <w:p w:rsidR="008F129A" w:rsidRDefault="008F129A">
      <w:pPr>
        <w:pStyle w:val="BodyText"/>
        <w:rPr>
          <w:sz w:val="22"/>
        </w:rPr>
      </w:pPr>
    </w:p>
    <w:p w:rsidR="008F129A" w:rsidRDefault="0005121F">
      <w:pPr>
        <w:pStyle w:val="Heading1"/>
        <w:spacing w:before="0" w:line="275" w:lineRule="exact"/>
      </w:pPr>
      <w:r>
        <w:rPr>
          <w:u w:val="single"/>
        </w:rPr>
        <w:t>PROCEDURES</w:t>
      </w:r>
    </w:p>
    <w:p w:rsidR="008F129A" w:rsidRDefault="0005121F">
      <w:pPr>
        <w:pStyle w:val="BodyText"/>
        <w:spacing w:line="275" w:lineRule="exact"/>
        <w:ind w:left="300"/>
      </w:pPr>
      <w:r>
        <w:t>This section has been intentionally left blank. Please refer to related policies for applicable procedures.</w:t>
      </w:r>
    </w:p>
    <w:p w:rsidR="008F129A" w:rsidRDefault="008F129A">
      <w:pPr>
        <w:spacing w:line="275" w:lineRule="exact"/>
        <w:sectPr w:rsidR="008F129A">
          <w:pgSz w:w="12240" w:h="15840"/>
          <w:pgMar w:top="1360" w:right="1220" w:bottom="1520" w:left="1140" w:header="0" w:footer="1338" w:gutter="0"/>
          <w:cols w:space="720"/>
        </w:sectPr>
      </w:pPr>
    </w:p>
    <w:p w:rsidR="008F129A" w:rsidRDefault="0005121F">
      <w:pPr>
        <w:pStyle w:val="Heading1"/>
        <w:spacing w:before="79"/>
      </w:pPr>
      <w:r>
        <w:rPr>
          <w:u w:val="single"/>
        </w:rPr>
        <w:t>REFERENCES</w:t>
      </w:r>
    </w:p>
    <w:p w:rsidR="008F129A" w:rsidRDefault="0005121F">
      <w:pPr>
        <w:pStyle w:val="ListParagraph"/>
        <w:numPr>
          <w:ilvl w:val="0"/>
          <w:numId w:val="1"/>
        </w:numPr>
        <w:tabs>
          <w:tab w:val="left" w:pos="1019"/>
          <w:tab w:val="left" w:pos="1020"/>
        </w:tabs>
        <w:spacing w:line="293" w:lineRule="exact"/>
        <w:rPr>
          <w:sz w:val="24"/>
        </w:rPr>
      </w:pPr>
      <w:r>
        <w:rPr>
          <w:sz w:val="24"/>
        </w:rPr>
        <w:t>45 CFR</w:t>
      </w:r>
      <w:r>
        <w:rPr>
          <w:spacing w:val="-9"/>
          <w:sz w:val="24"/>
        </w:rPr>
        <w:t xml:space="preserve"> </w:t>
      </w:r>
      <w:r>
        <w:rPr>
          <w:sz w:val="24"/>
        </w:rPr>
        <w:t>46.111</w:t>
      </w:r>
    </w:p>
    <w:p w:rsidR="008F129A" w:rsidRDefault="0005121F">
      <w:pPr>
        <w:pStyle w:val="ListParagraph"/>
        <w:numPr>
          <w:ilvl w:val="0"/>
          <w:numId w:val="1"/>
        </w:numPr>
        <w:tabs>
          <w:tab w:val="left" w:pos="1019"/>
          <w:tab w:val="left" w:pos="1020"/>
        </w:tabs>
        <w:spacing w:line="292" w:lineRule="exact"/>
        <w:rPr>
          <w:sz w:val="24"/>
        </w:rPr>
      </w:pPr>
      <w:r>
        <w:rPr>
          <w:sz w:val="24"/>
        </w:rPr>
        <w:t>45 CFR</w:t>
      </w:r>
      <w:r>
        <w:rPr>
          <w:spacing w:val="-9"/>
          <w:sz w:val="24"/>
        </w:rPr>
        <w:t xml:space="preserve"> </w:t>
      </w:r>
      <w:r>
        <w:rPr>
          <w:sz w:val="24"/>
        </w:rPr>
        <w:t>46.113</w:t>
      </w:r>
    </w:p>
    <w:p w:rsidR="008F129A" w:rsidRDefault="0005121F">
      <w:pPr>
        <w:pStyle w:val="ListParagraph"/>
        <w:numPr>
          <w:ilvl w:val="0"/>
          <w:numId w:val="1"/>
        </w:numPr>
        <w:tabs>
          <w:tab w:val="left" w:pos="1019"/>
          <w:tab w:val="left" w:pos="1020"/>
        </w:tabs>
        <w:spacing w:line="292" w:lineRule="exact"/>
        <w:rPr>
          <w:sz w:val="24"/>
        </w:rPr>
      </w:pPr>
      <w:r>
        <w:rPr>
          <w:sz w:val="24"/>
        </w:rPr>
        <w:t>21 CFR</w:t>
      </w:r>
      <w:r>
        <w:rPr>
          <w:spacing w:val="-1"/>
          <w:sz w:val="24"/>
        </w:rPr>
        <w:t xml:space="preserve"> </w:t>
      </w:r>
      <w:r>
        <w:rPr>
          <w:sz w:val="24"/>
        </w:rPr>
        <w:t>50.1</w:t>
      </w:r>
    </w:p>
    <w:p w:rsidR="008F129A" w:rsidRDefault="0005121F">
      <w:pPr>
        <w:pStyle w:val="ListParagraph"/>
        <w:numPr>
          <w:ilvl w:val="0"/>
          <w:numId w:val="1"/>
        </w:numPr>
        <w:tabs>
          <w:tab w:val="left" w:pos="1019"/>
          <w:tab w:val="left" w:pos="1020"/>
        </w:tabs>
        <w:spacing w:line="292" w:lineRule="exact"/>
        <w:rPr>
          <w:sz w:val="24"/>
        </w:rPr>
      </w:pPr>
      <w:r>
        <w:rPr>
          <w:sz w:val="24"/>
        </w:rPr>
        <w:t>21 CFR</w:t>
      </w:r>
      <w:r>
        <w:rPr>
          <w:spacing w:val="-9"/>
          <w:sz w:val="24"/>
        </w:rPr>
        <w:t xml:space="preserve"> </w:t>
      </w:r>
      <w:r>
        <w:rPr>
          <w:sz w:val="24"/>
        </w:rPr>
        <w:t>56.102</w:t>
      </w:r>
    </w:p>
    <w:p w:rsidR="008F129A" w:rsidRDefault="0005121F">
      <w:pPr>
        <w:pStyle w:val="ListParagraph"/>
        <w:numPr>
          <w:ilvl w:val="0"/>
          <w:numId w:val="1"/>
        </w:numPr>
        <w:tabs>
          <w:tab w:val="left" w:pos="1019"/>
          <w:tab w:val="left" w:pos="1020"/>
        </w:tabs>
        <w:spacing w:line="293" w:lineRule="exact"/>
        <w:rPr>
          <w:sz w:val="24"/>
        </w:rPr>
      </w:pPr>
      <w:r>
        <w:rPr>
          <w:sz w:val="24"/>
        </w:rPr>
        <w:t>21 CFR</w:t>
      </w:r>
      <w:r>
        <w:rPr>
          <w:spacing w:val="-9"/>
          <w:sz w:val="24"/>
        </w:rPr>
        <w:t xml:space="preserve"> </w:t>
      </w:r>
      <w:r>
        <w:rPr>
          <w:sz w:val="24"/>
        </w:rPr>
        <w:t>56.108</w:t>
      </w:r>
    </w:p>
    <w:p w:rsidR="008F129A" w:rsidRDefault="008F129A">
      <w:pPr>
        <w:pStyle w:val="BodyText"/>
        <w:rPr>
          <w:sz w:val="28"/>
        </w:rPr>
      </w:pPr>
    </w:p>
    <w:p w:rsidR="008F129A" w:rsidRDefault="0005121F">
      <w:pPr>
        <w:pStyle w:val="Heading1"/>
        <w:spacing w:before="227"/>
      </w:pPr>
      <w:r>
        <w:rPr>
          <w:u w:val="single"/>
        </w:rPr>
        <w:t>Other Related</w:t>
      </w:r>
      <w:r>
        <w:rPr>
          <w:spacing w:val="-29"/>
          <w:u w:val="single"/>
        </w:rPr>
        <w:t xml:space="preserve"> </w:t>
      </w:r>
      <w:r>
        <w:rPr>
          <w:u w:val="single"/>
        </w:rPr>
        <w:t>Policy/Procedures:</w:t>
      </w:r>
    </w:p>
    <w:p w:rsidR="008F129A" w:rsidRDefault="0005121F">
      <w:pPr>
        <w:pStyle w:val="ListParagraph"/>
        <w:numPr>
          <w:ilvl w:val="0"/>
          <w:numId w:val="1"/>
        </w:numPr>
        <w:tabs>
          <w:tab w:val="left" w:pos="1019"/>
          <w:tab w:val="left" w:pos="1020"/>
        </w:tabs>
        <w:spacing w:before="1" w:line="293" w:lineRule="exact"/>
        <w:rPr>
          <w:sz w:val="24"/>
        </w:rPr>
      </w:pPr>
      <w:r>
        <w:rPr>
          <w:sz w:val="24"/>
        </w:rPr>
        <w:t>Exempt</w:t>
      </w:r>
      <w:r>
        <w:rPr>
          <w:spacing w:val="-11"/>
          <w:sz w:val="24"/>
        </w:rPr>
        <w:t xml:space="preserve"> </w:t>
      </w:r>
      <w:r>
        <w:rPr>
          <w:sz w:val="24"/>
        </w:rPr>
        <w:t>Review</w:t>
      </w:r>
    </w:p>
    <w:p w:rsidR="008F129A" w:rsidRDefault="0005121F">
      <w:pPr>
        <w:pStyle w:val="ListParagraph"/>
        <w:numPr>
          <w:ilvl w:val="0"/>
          <w:numId w:val="1"/>
        </w:numPr>
        <w:tabs>
          <w:tab w:val="left" w:pos="1019"/>
          <w:tab w:val="left" w:pos="1020"/>
        </w:tabs>
        <w:spacing w:line="292" w:lineRule="exact"/>
        <w:rPr>
          <w:sz w:val="24"/>
        </w:rPr>
      </w:pPr>
      <w:r>
        <w:rPr>
          <w:sz w:val="24"/>
        </w:rPr>
        <w:t>Expedited</w:t>
      </w:r>
      <w:r>
        <w:rPr>
          <w:spacing w:val="-1"/>
          <w:sz w:val="24"/>
        </w:rPr>
        <w:t xml:space="preserve"> </w:t>
      </w:r>
      <w:r>
        <w:rPr>
          <w:sz w:val="24"/>
        </w:rPr>
        <w:t>Review</w:t>
      </w:r>
    </w:p>
    <w:p w:rsidR="008F129A" w:rsidRDefault="0005121F">
      <w:pPr>
        <w:pStyle w:val="ListParagraph"/>
        <w:numPr>
          <w:ilvl w:val="0"/>
          <w:numId w:val="1"/>
        </w:numPr>
        <w:tabs>
          <w:tab w:val="left" w:pos="1019"/>
          <w:tab w:val="left" w:pos="1020"/>
        </w:tabs>
        <w:spacing w:line="292" w:lineRule="exact"/>
        <w:rPr>
          <w:sz w:val="24"/>
        </w:rPr>
      </w:pPr>
      <w:r>
        <w:rPr>
          <w:sz w:val="24"/>
        </w:rPr>
        <w:t>Use of Non-local IRB</w:t>
      </w:r>
      <w:r>
        <w:rPr>
          <w:spacing w:val="-1"/>
          <w:sz w:val="24"/>
        </w:rPr>
        <w:t xml:space="preserve"> </w:t>
      </w:r>
      <w:r>
        <w:rPr>
          <w:sz w:val="24"/>
        </w:rPr>
        <w:t>Review</w:t>
      </w:r>
    </w:p>
    <w:p w:rsidR="008F129A" w:rsidRDefault="0005121F">
      <w:pPr>
        <w:pStyle w:val="ListParagraph"/>
        <w:numPr>
          <w:ilvl w:val="0"/>
          <w:numId w:val="1"/>
        </w:numPr>
        <w:tabs>
          <w:tab w:val="left" w:pos="1019"/>
          <w:tab w:val="left" w:pos="1020"/>
        </w:tabs>
        <w:spacing w:line="293" w:lineRule="exact"/>
        <w:rPr>
          <w:sz w:val="24"/>
        </w:rPr>
      </w:pPr>
      <w:r>
        <w:rPr>
          <w:sz w:val="24"/>
        </w:rPr>
        <w:t>External</w:t>
      </w:r>
      <w:r>
        <w:rPr>
          <w:spacing w:val="-1"/>
          <w:sz w:val="24"/>
        </w:rPr>
        <w:t xml:space="preserve"> </w:t>
      </w:r>
      <w:r>
        <w:rPr>
          <w:sz w:val="24"/>
        </w:rPr>
        <w:t>Reporting</w:t>
      </w:r>
    </w:p>
    <w:p w:rsidR="008F129A" w:rsidRDefault="008F129A">
      <w:pPr>
        <w:pStyle w:val="BodyText"/>
        <w:rPr>
          <w:sz w:val="20"/>
        </w:rPr>
      </w:pPr>
    </w:p>
    <w:p w:rsidR="008F129A" w:rsidRDefault="008F129A">
      <w:pPr>
        <w:pStyle w:val="BodyText"/>
        <w:rPr>
          <w:sz w:val="20"/>
        </w:rPr>
      </w:pPr>
    </w:p>
    <w:p w:rsidR="008F129A" w:rsidRDefault="008F129A">
      <w:pPr>
        <w:pStyle w:val="BodyText"/>
        <w:rPr>
          <w:sz w:val="20"/>
        </w:rPr>
      </w:pPr>
    </w:p>
    <w:p w:rsidR="008F129A" w:rsidRDefault="008F129A">
      <w:pPr>
        <w:pStyle w:val="BodyText"/>
        <w:spacing w:before="3"/>
        <w:rPr>
          <w:sz w:val="29"/>
        </w:rPr>
      </w:pPr>
    </w:p>
    <w:p w:rsidR="008F129A" w:rsidRDefault="0005121F">
      <w:pPr>
        <w:pStyle w:val="Heading1"/>
        <w:ind w:left="4025" w:right="3944"/>
        <w:jc w:val="center"/>
      </w:pPr>
      <w:r>
        <w:t>REVISION HISTORY</w:t>
      </w:r>
    </w:p>
    <w:p w:rsidR="008F129A" w:rsidRDefault="008F129A">
      <w:pPr>
        <w:pStyle w:val="BodyText"/>
        <w:rPr>
          <w:b/>
          <w:sz w:val="20"/>
        </w:rPr>
      </w:pPr>
    </w:p>
    <w:p w:rsidR="008F129A" w:rsidRDefault="008F129A">
      <w:pPr>
        <w:pStyle w:val="BodyText"/>
        <w:spacing w:before="1" w:after="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8F129A">
        <w:trPr>
          <w:trHeight w:val="252"/>
        </w:trPr>
        <w:tc>
          <w:tcPr>
            <w:tcW w:w="2250" w:type="dxa"/>
            <w:shd w:val="clear" w:color="auto" w:fill="D9D9D9"/>
          </w:tcPr>
          <w:p w:rsidR="008F129A" w:rsidRDefault="0005121F">
            <w:pPr>
              <w:pStyle w:val="TableParagraph"/>
              <w:spacing w:line="233" w:lineRule="exact"/>
              <w:ind w:left="220"/>
              <w:rPr>
                <w:b/>
              </w:rPr>
            </w:pPr>
            <w:r>
              <w:rPr>
                <w:b/>
              </w:rPr>
              <w:t>Revision Number</w:t>
            </w:r>
          </w:p>
        </w:tc>
        <w:tc>
          <w:tcPr>
            <w:tcW w:w="3690" w:type="dxa"/>
            <w:shd w:val="clear" w:color="auto" w:fill="D9D9D9"/>
          </w:tcPr>
          <w:p w:rsidR="008F129A" w:rsidRDefault="0005121F">
            <w:pPr>
              <w:pStyle w:val="TableParagraph"/>
              <w:spacing w:line="233" w:lineRule="exact"/>
              <w:ind w:left="610"/>
              <w:rPr>
                <w:b/>
              </w:rPr>
            </w:pPr>
            <w:r>
              <w:rPr>
                <w:b/>
              </w:rPr>
              <w:t>Description of Changes</w:t>
            </w:r>
          </w:p>
        </w:tc>
        <w:tc>
          <w:tcPr>
            <w:tcW w:w="1854" w:type="dxa"/>
            <w:shd w:val="clear" w:color="auto" w:fill="D9D9D9"/>
          </w:tcPr>
          <w:p w:rsidR="008F129A" w:rsidRDefault="0005121F">
            <w:pPr>
              <w:pStyle w:val="TableParagraph"/>
              <w:spacing w:line="233" w:lineRule="exact"/>
              <w:ind w:left="388"/>
              <w:rPr>
                <w:b/>
              </w:rPr>
            </w:pPr>
            <w:r>
              <w:rPr>
                <w:b/>
              </w:rPr>
              <w:t>Approvals</w:t>
            </w:r>
          </w:p>
        </w:tc>
        <w:tc>
          <w:tcPr>
            <w:tcW w:w="1854" w:type="dxa"/>
            <w:shd w:val="clear" w:color="auto" w:fill="D9D9D9"/>
          </w:tcPr>
          <w:p w:rsidR="008F129A" w:rsidRDefault="0005121F">
            <w:pPr>
              <w:pStyle w:val="TableParagraph"/>
              <w:spacing w:line="233" w:lineRule="exact"/>
              <w:ind w:left="668" w:right="659"/>
              <w:jc w:val="center"/>
              <w:rPr>
                <w:b/>
              </w:rPr>
            </w:pPr>
            <w:r>
              <w:rPr>
                <w:b/>
              </w:rPr>
              <w:t>Date</w:t>
            </w:r>
          </w:p>
        </w:tc>
      </w:tr>
      <w:tr w:rsidR="008F129A">
        <w:trPr>
          <w:trHeight w:val="275"/>
        </w:trPr>
        <w:tc>
          <w:tcPr>
            <w:tcW w:w="2250" w:type="dxa"/>
          </w:tcPr>
          <w:p w:rsidR="008F129A" w:rsidRDefault="008F129A">
            <w:pPr>
              <w:pStyle w:val="TableParagraph"/>
              <w:rPr>
                <w:rFonts w:ascii="Times New Roman"/>
                <w:sz w:val="20"/>
              </w:rPr>
            </w:pPr>
          </w:p>
        </w:tc>
        <w:tc>
          <w:tcPr>
            <w:tcW w:w="3690"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r>
      <w:tr w:rsidR="008F129A">
        <w:trPr>
          <w:trHeight w:val="275"/>
        </w:trPr>
        <w:tc>
          <w:tcPr>
            <w:tcW w:w="2250" w:type="dxa"/>
          </w:tcPr>
          <w:p w:rsidR="008F129A" w:rsidRDefault="008F129A">
            <w:pPr>
              <w:pStyle w:val="TableParagraph"/>
              <w:rPr>
                <w:rFonts w:ascii="Times New Roman"/>
                <w:sz w:val="20"/>
              </w:rPr>
            </w:pPr>
          </w:p>
        </w:tc>
        <w:tc>
          <w:tcPr>
            <w:tcW w:w="3690"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r>
      <w:tr w:rsidR="008F129A">
        <w:trPr>
          <w:trHeight w:val="276"/>
        </w:trPr>
        <w:tc>
          <w:tcPr>
            <w:tcW w:w="2250" w:type="dxa"/>
          </w:tcPr>
          <w:p w:rsidR="008F129A" w:rsidRDefault="008F129A">
            <w:pPr>
              <w:pStyle w:val="TableParagraph"/>
              <w:rPr>
                <w:rFonts w:ascii="Times New Roman"/>
                <w:sz w:val="20"/>
              </w:rPr>
            </w:pPr>
          </w:p>
        </w:tc>
        <w:tc>
          <w:tcPr>
            <w:tcW w:w="3690"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r>
      <w:tr w:rsidR="008F129A">
        <w:trPr>
          <w:trHeight w:val="275"/>
        </w:trPr>
        <w:tc>
          <w:tcPr>
            <w:tcW w:w="2250" w:type="dxa"/>
          </w:tcPr>
          <w:p w:rsidR="008F129A" w:rsidRDefault="008F129A">
            <w:pPr>
              <w:pStyle w:val="TableParagraph"/>
              <w:rPr>
                <w:rFonts w:ascii="Times New Roman"/>
                <w:sz w:val="20"/>
              </w:rPr>
            </w:pPr>
          </w:p>
        </w:tc>
        <w:tc>
          <w:tcPr>
            <w:tcW w:w="3690"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r>
      <w:tr w:rsidR="008F129A">
        <w:trPr>
          <w:trHeight w:val="276"/>
        </w:trPr>
        <w:tc>
          <w:tcPr>
            <w:tcW w:w="2250" w:type="dxa"/>
          </w:tcPr>
          <w:p w:rsidR="008F129A" w:rsidRDefault="008F129A">
            <w:pPr>
              <w:pStyle w:val="TableParagraph"/>
              <w:rPr>
                <w:rFonts w:ascii="Times New Roman"/>
                <w:sz w:val="20"/>
              </w:rPr>
            </w:pPr>
          </w:p>
        </w:tc>
        <w:tc>
          <w:tcPr>
            <w:tcW w:w="3690"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c>
          <w:tcPr>
            <w:tcW w:w="1854" w:type="dxa"/>
          </w:tcPr>
          <w:p w:rsidR="008F129A" w:rsidRDefault="008F129A">
            <w:pPr>
              <w:pStyle w:val="TableParagraph"/>
              <w:rPr>
                <w:rFonts w:ascii="Times New Roman"/>
                <w:sz w:val="20"/>
              </w:rPr>
            </w:pPr>
          </w:p>
        </w:tc>
      </w:tr>
    </w:tbl>
    <w:p w:rsidR="00000000" w:rsidRDefault="0005121F"/>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121F">
      <w:r>
        <w:separator/>
      </w:r>
    </w:p>
  </w:endnote>
  <w:endnote w:type="continuationSeparator" w:id="0">
    <w:p w:rsidR="00000000" w:rsidRDefault="0005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9A" w:rsidRDefault="0005121F">
    <w:pPr>
      <w:pStyle w:val="BodyText"/>
      <w:spacing w:line="14" w:lineRule="auto"/>
      <w:rPr>
        <w:sz w:val="20"/>
      </w:rPr>
    </w:pPr>
    <w:r>
      <w:rPr>
        <w:noProof/>
      </w:rPr>
      <mc:AlternateContent>
        <mc:Choice Requires="wpg">
          <w:drawing>
            <wp:anchor distT="0" distB="0" distL="114300" distR="114300" simplePos="0" relativeHeight="503310968"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E89CD" id="Group 4" o:spid="_x0000_s1026" style="position:absolute;margin-left:70.5pt;margin-top:711.1pt;width:471pt;height:4.45pt;z-index:-5512;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29A" w:rsidRDefault="0005121F">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8F129A" w:rsidRDefault="0005121F">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1016"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29A" w:rsidRDefault="0005121F">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8F129A" w:rsidRDefault="0005121F">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040"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29A" w:rsidRDefault="0005121F">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8F129A" w:rsidRDefault="0005121F">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121F">
      <w:r>
        <w:separator/>
      </w:r>
    </w:p>
  </w:footnote>
  <w:footnote w:type="continuationSeparator" w:id="0">
    <w:p w:rsidR="00000000" w:rsidRDefault="0005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7944"/>
    <w:multiLevelType w:val="hybridMultilevel"/>
    <w:tmpl w:val="ED56BC42"/>
    <w:lvl w:ilvl="0" w:tplc="C1FA40DE">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E542BE5E">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A8D8EB58">
      <w:numFmt w:val="bullet"/>
      <w:lvlText w:val="•"/>
      <w:lvlJc w:val="left"/>
      <w:pPr>
        <w:ind w:left="2324" w:hanging="360"/>
      </w:pPr>
      <w:rPr>
        <w:rFonts w:hint="default"/>
      </w:rPr>
    </w:lvl>
    <w:lvl w:ilvl="3" w:tplc="577EEB1E">
      <w:numFmt w:val="bullet"/>
      <w:lvlText w:val="•"/>
      <w:lvlJc w:val="left"/>
      <w:pPr>
        <w:ind w:left="3268" w:hanging="360"/>
      </w:pPr>
      <w:rPr>
        <w:rFonts w:hint="default"/>
      </w:rPr>
    </w:lvl>
    <w:lvl w:ilvl="4" w:tplc="86969F68">
      <w:numFmt w:val="bullet"/>
      <w:lvlText w:val="•"/>
      <w:lvlJc w:val="left"/>
      <w:pPr>
        <w:ind w:left="4213" w:hanging="360"/>
      </w:pPr>
      <w:rPr>
        <w:rFonts w:hint="default"/>
      </w:rPr>
    </w:lvl>
    <w:lvl w:ilvl="5" w:tplc="D096A29A">
      <w:numFmt w:val="bullet"/>
      <w:lvlText w:val="•"/>
      <w:lvlJc w:val="left"/>
      <w:pPr>
        <w:ind w:left="5157" w:hanging="360"/>
      </w:pPr>
      <w:rPr>
        <w:rFonts w:hint="default"/>
      </w:rPr>
    </w:lvl>
    <w:lvl w:ilvl="6" w:tplc="906633F8">
      <w:numFmt w:val="bullet"/>
      <w:lvlText w:val="•"/>
      <w:lvlJc w:val="left"/>
      <w:pPr>
        <w:ind w:left="6102" w:hanging="360"/>
      </w:pPr>
      <w:rPr>
        <w:rFonts w:hint="default"/>
      </w:rPr>
    </w:lvl>
    <w:lvl w:ilvl="7" w:tplc="2B8CE966">
      <w:numFmt w:val="bullet"/>
      <w:lvlText w:val="•"/>
      <w:lvlJc w:val="left"/>
      <w:pPr>
        <w:ind w:left="7046" w:hanging="360"/>
      </w:pPr>
      <w:rPr>
        <w:rFonts w:hint="default"/>
      </w:rPr>
    </w:lvl>
    <w:lvl w:ilvl="8" w:tplc="920C835E">
      <w:numFmt w:val="bullet"/>
      <w:lvlText w:val="•"/>
      <w:lvlJc w:val="left"/>
      <w:pPr>
        <w:ind w:left="7991" w:hanging="360"/>
      </w:pPr>
      <w:rPr>
        <w:rFonts w:hint="default"/>
      </w:rPr>
    </w:lvl>
  </w:abstractNum>
  <w:abstractNum w:abstractNumId="1" w15:restartNumberingAfterBreak="0">
    <w:nsid w:val="7AD93457"/>
    <w:multiLevelType w:val="hybridMultilevel"/>
    <w:tmpl w:val="6DD4D166"/>
    <w:lvl w:ilvl="0" w:tplc="DF0C7464">
      <w:numFmt w:val="bullet"/>
      <w:lvlText w:val=""/>
      <w:lvlJc w:val="left"/>
      <w:pPr>
        <w:ind w:left="1020" w:hanging="360"/>
      </w:pPr>
      <w:rPr>
        <w:rFonts w:ascii="Symbol" w:eastAsia="Symbol" w:hAnsi="Symbol" w:cs="Symbol" w:hint="default"/>
        <w:w w:val="100"/>
        <w:sz w:val="24"/>
        <w:szCs w:val="24"/>
      </w:rPr>
    </w:lvl>
    <w:lvl w:ilvl="1" w:tplc="99F4D384">
      <w:numFmt w:val="bullet"/>
      <w:lvlText w:val="•"/>
      <w:lvlJc w:val="left"/>
      <w:pPr>
        <w:ind w:left="1906" w:hanging="360"/>
      </w:pPr>
      <w:rPr>
        <w:rFonts w:hint="default"/>
      </w:rPr>
    </w:lvl>
    <w:lvl w:ilvl="2" w:tplc="FC943F40">
      <w:numFmt w:val="bullet"/>
      <w:lvlText w:val="•"/>
      <w:lvlJc w:val="left"/>
      <w:pPr>
        <w:ind w:left="2792" w:hanging="360"/>
      </w:pPr>
      <w:rPr>
        <w:rFonts w:hint="default"/>
      </w:rPr>
    </w:lvl>
    <w:lvl w:ilvl="3" w:tplc="C3A42448">
      <w:numFmt w:val="bullet"/>
      <w:lvlText w:val="•"/>
      <w:lvlJc w:val="left"/>
      <w:pPr>
        <w:ind w:left="3678" w:hanging="360"/>
      </w:pPr>
      <w:rPr>
        <w:rFonts w:hint="default"/>
      </w:rPr>
    </w:lvl>
    <w:lvl w:ilvl="4" w:tplc="47A63CBE">
      <w:numFmt w:val="bullet"/>
      <w:lvlText w:val="•"/>
      <w:lvlJc w:val="left"/>
      <w:pPr>
        <w:ind w:left="4564" w:hanging="360"/>
      </w:pPr>
      <w:rPr>
        <w:rFonts w:hint="default"/>
      </w:rPr>
    </w:lvl>
    <w:lvl w:ilvl="5" w:tplc="D804D0A2">
      <w:numFmt w:val="bullet"/>
      <w:lvlText w:val="•"/>
      <w:lvlJc w:val="left"/>
      <w:pPr>
        <w:ind w:left="5450" w:hanging="360"/>
      </w:pPr>
      <w:rPr>
        <w:rFonts w:hint="default"/>
      </w:rPr>
    </w:lvl>
    <w:lvl w:ilvl="6" w:tplc="7BCA9848">
      <w:numFmt w:val="bullet"/>
      <w:lvlText w:val="•"/>
      <w:lvlJc w:val="left"/>
      <w:pPr>
        <w:ind w:left="6336" w:hanging="360"/>
      </w:pPr>
      <w:rPr>
        <w:rFonts w:hint="default"/>
      </w:rPr>
    </w:lvl>
    <w:lvl w:ilvl="7" w:tplc="80EEAA94">
      <w:numFmt w:val="bullet"/>
      <w:lvlText w:val="•"/>
      <w:lvlJc w:val="left"/>
      <w:pPr>
        <w:ind w:left="7222" w:hanging="360"/>
      </w:pPr>
      <w:rPr>
        <w:rFonts w:hint="default"/>
      </w:rPr>
    </w:lvl>
    <w:lvl w:ilvl="8" w:tplc="71C4D810">
      <w:numFmt w:val="bullet"/>
      <w:lvlText w:val="•"/>
      <w:lvlJc w:val="left"/>
      <w:pPr>
        <w:ind w:left="81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9A"/>
    <w:rsid w:val="0005121F"/>
    <w:rsid w:val="008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ECB5637-0467-4221-BDD6-98EE7805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92"/>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IRB Jurisdiction and Authority - APPROVED 01.28.2015</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Jurisdiction and Authority - APPROVED 01.28.2015</dc:title>
  <dc:creator>FLEWIS</dc:creator>
  <cp:lastModifiedBy>Reilly Moss</cp:lastModifiedBy>
  <cp:revision>2</cp:revision>
  <dcterms:created xsi:type="dcterms:W3CDTF">2019-07-08T18:55:00Z</dcterms:created>
  <dcterms:modified xsi:type="dcterms:W3CDTF">2019-07-08T18:55:00Z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PScript5.dll Version 5.2.2</vt:lpwstr>
  </property>
  <property fmtid="{D5CDD505-2E9C-101B-9397-08002B2CF9AE}" pid="4" name="LastSaved">
    <vt:filetime>2019-07-08T00:00:00Z</vt:filetime>
  </property>
</Properties>
</file>