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B4" w:rsidRDefault="0063794D">
      <w:pPr>
        <w:spacing w:before="79"/>
        <w:ind w:left="3066"/>
        <w:rPr>
          <w:b/>
          <w:sz w:val="28"/>
        </w:rPr>
      </w:pPr>
      <w:bookmarkStart w:id="0" w:name="_GoBack"/>
      <w:bookmarkEnd w:id="0"/>
      <w:r>
        <w:rPr>
          <w:b/>
          <w:sz w:val="28"/>
          <w:u w:val="thick"/>
        </w:rPr>
        <w:t>Phoebe Putney Health System, Inc.</w:t>
      </w:r>
    </w:p>
    <w:p w:rsidR="00420CB4" w:rsidRDefault="00420CB4">
      <w:pPr>
        <w:pStyle w:val="BodyText"/>
        <w:spacing w:before="11"/>
        <w:rPr>
          <w:b/>
          <w:sz w:val="15"/>
          <w:u w:val="none"/>
        </w:rPr>
      </w:pPr>
    </w:p>
    <w:p w:rsidR="00420CB4" w:rsidRDefault="0063794D">
      <w:pPr>
        <w:pStyle w:val="Heading1"/>
        <w:spacing w:before="92"/>
        <w:jc w:val="both"/>
      </w:pPr>
      <w:r>
        <w:t>INSTITUTIONAL REVIEW BOARD (IRB) Policy Regarding Research Involving Children</w:t>
      </w:r>
    </w:p>
    <w:p w:rsidR="00420CB4" w:rsidRDefault="0063794D">
      <w:pPr>
        <w:spacing w:before="1"/>
        <w:ind w:right="1272"/>
        <w:jc w:val="right"/>
        <w:rPr>
          <w:b/>
          <w:sz w:val="24"/>
        </w:rPr>
      </w:pPr>
      <w:r>
        <w:rPr>
          <w:b/>
          <w:sz w:val="24"/>
        </w:rPr>
        <w:t>POLICY NO.: PPMH</w:t>
      </w:r>
    </w:p>
    <w:p w:rsidR="00420CB4" w:rsidRDefault="00420CB4">
      <w:pPr>
        <w:pStyle w:val="BodyText"/>
        <w:rPr>
          <w:b/>
          <w:sz w:val="20"/>
          <w:u w:val="none"/>
        </w:rPr>
      </w:pPr>
    </w:p>
    <w:p w:rsidR="00420CB4" w:rsidRDefault="0063794D">
      <w:pPr>
        <w:pStyle w:val="BodyText"/>
        <w:spacing w:before="6"/>
        <w:rPr>
          <w:b/>
          <w:sz w:val="11"/>
          <w:u w:val="none"/>
        </w:rPr>
      </w:pPr>
      <w:r>
        <w:rPr>
          <w:noProof/>
        </w:rPr>
        <mc:AlternateContent>
          <mc:Choice Requires="wps">
            <w:drawing>
              <wp:anchor distT="0" distB="0" distL="0" distR="0" simplePos="0" relativeHeight="251657216" behindDoc="1" locked="0" layoutInCell="1" allowOverlap="1">
                <wp:simplePos x="0" y="0"/>
                <wp:positionH relativeFrom="page">
                  <wp:posOffset>842010</wp:posOffset>
                </wp:positionH>
                <wp:positionV relativeFrom="paragraph">
                  <wp:posOffset>129540</wp:posOffset>
                </wp:positionV>
                <wp:extent cx="5787390" cy="0"/>
                <wp:effectExtent l="22860" t="27940" r="28575" b="2921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52E28"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10.2pt" to="52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" strokeweight="3.12pt">
                <w10:wrap type="topAndBottom" anchorx="page"/>
              </v:line>
            </w:pict>
          </mc:Fallback>
        </mc:AlternateContent>
      </w:r>
    </w:p>
    <w:p w:rsidR="00420CB4" w:rsidRDefault="0063794D">
      <w:pPr>
        <w:tabs>
          <w:tab w:val="left" w:pos="6780"/>
        </w:tabs>
        <w:spacing w:before="56"/>
        <w:ind w:left="300"/>
        <w:jc w:val="both"/>
        <w:rPr>
          <w:sz w:val="24"/>
        </w:rPr>
      </w:pPr>
      <w:r>
        <w:rPr>
          <w:b/>
          <w:sz w:val="24"/>
        </w:rPr>
        <w:t xml:space="preserve">Approved by:   </w:t>
      </w:r>
      <w:r>
        <w:rPr>
          <w:sz w:val="24"/>
        </w:rPr>
        <w:t>IRB Chair (April</w:t>
      </w:r>
      <w:r>
        <w:rPr>
          <w:spacing w:val="-11"/>
          <w:sz w:val="24"/>
        </w:rPr>
        <w:t xml:space="preserve"> </w:t>
      </w:r>
      <w:r>
        <w:rPr>
          <w:sz w:val="24"/>
        </w:rPr>
        <w:t>22,</w:t>
      </w:r>
      <w:r>
        <w:rPr>
          <w:spacing w:val="-2"/>
          <w:sz w:val="24"/>
        </w:rPr>
        <w:t xml:space="preserve"> </w:t>
      </w:r>
      <w:r>
        <w:rPr>
          <w:sz w:val="24"/>
        </w:rPr>
        <w:t>2015)</w:t>
      </w:r>
      <w:r>
        <w:rPr>
          <w:sz w:val="24"/>
        </w:rPr>
        <w:tab/>
        <w:t>Review Date:</w:t>
      </w:r>
    </w:p>
    <w:p w:rsidR="00420CB4" w:rsidRDefault="0063794D">
      <w:pPr>
        <w:pStyle w:val="BodyText"/>
        <w:spacing w:line="275" w:lineRule="exact"/>
        <w:ind w:left="300"/>
        <w:jc w:val="both"/>
        <w:rPr>
          <w:u w:val="none"/>
        </w:rPr>
      </w:pPr>
      <w:r>
        <w:rPr>
          <w:b/>
          <w:u w:val="none"/>
        </w:rPr>
        <w:t xml:space="preserve">Approved by: </w:t>
      </w:r>
      <w:r>
        <w:rPr>
          <w:u w:val="none"/>
        </w:rPr>
        <w:t>Phoebe Putney Memorial Hospital Board (May 6, 2015) Revised Date:</w:t>
      </w:r>
    </w:p>
    <w:p w:rsidR="00420CB4" w:rsidRDefault="0063794D">
      <w:pPr>
        <w:tabs>
          <w:tab w:val="left" w:pos="6779"/>
        </w:tabs>
        <w:spacing w:line="275" w:lineRule="exact"/>
        <w:ind w:left="300"/>
        <w:jc w:val="both"/>
        <w:rPr>
          <w:sz w:val="24"/>
        </w:rPr>
      </w:pPr>
      <w:r>
        <w:rPr>
          <w:b/>
          <w:sz w:val="24"/>
        </w:rPr>
        <w:t>Review</w:t>
      </w:r>
      <w:r>
        <w:rPr>
          <w:b/>
          <w:spacing w:val="-2"/>
          <w:sz w:val="24"/>
        </w:rPr>
        <w:t xml:space="preserve"> </w:t>
      </w:r>
      <w:r>
        <w:rPr>
          <w:b/>
          <w:sz w:val="24"/>
        </w:rPr>
        <w:t>Period:</w:t>
      </w:r>
      <w:r>
        <w:rPr>
          <w:b/>
          <w:spacing w:val="-28"/>
          <w:sz w:val="24"/>
        </w:rPr>
        <w:t xml:space="preserve"> </w:t>
      </w:r>
      <w:r>
        <w:rPr>
          <w:sz w:val="24"/>
        </w:rPr>
        <w:t>Annually</w:t>
      </w:r>
      <w:r>
        <w:rPr>
          <w:sz w:val="24"/>
        </w:rPr>
        <w:tab/>
        <w:t xml:space="preserve">Approval Date: </w:t>
      </w:r>
      <w:r>
        <w:rPr>
          <w:spacing w:val="8"/>
          <w:sz w:val="24"/>
        </w:rPr>
        <w:t xml:space="preserve"> </w:t>
      </w:r>
      <w:r>
        <w:rPr>
          <w:sz w:val="24"/>
        </w:rPr>
        <w:t>05/06/2015</w:t>
      </w:r>
    </w:p>
    <w:p w:rsidR="00420CB4" w:rsidRDefault="0063794D">
      <w:pPr>
        <w:tabs>
          <w:tab w:val="left" w:pos="6779"/>
        </w:tabs>
        <w:spacing w:before="1"/>
        <w:ind w:left="300"/>
        <w:jc w:val="both"/>
        <w:rPr>
          <w:sz w:val="24"/>
        </w:rPr>
      </w:pPr>
      <w:r>
        <w:rPr>
          <w:noProof/>
        </w:rPr>
        <mc:AlternateContent>
          <mc:Choice Requires="wps">
            <w:drawing>
              <wp:anchor distT="0" distB="0" distL="0" distR="0" simplePos="0" relativeHeight="251658240" behindDoc="1" locked="0" layoutInCell="1" allowOverlap="1">
                <wp:simplePos x="0" y="0"/>
                <wp:positionH relativeFrom="page">
                  <wp:posOffset>842010</wp:posOffset>
                </wp:positionH>
                <wp:positionV relativeFrom="paragraph">
                  <wp:posOffset>227330</wp:posOffset>
                </wp:positionV>
                <wp:extent cx="5787390" cy="0"/>
                <wp:effectExtent l="22860" t="28575" r="28575" b="2857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403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C3AB0"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17.9pt" to="52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g7HgIAAEI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" strokeweight="3.18pt">
                <w10:wrap type="topAndBottom" anchorx="page"/>
              </v:line>
            </w:pict>
          </mc:Fallback>
        </mc:AlternateContent>
      </w:r>
      <w:r>
        <w:rPr>
          <w:b/>
          <w:sz w:val="24"/>
        </w:rPr>
        <w:t xml:space="preserve">Contact Information: </w:t>
      </w:r>
      <w:r>
        <w:rPr>
          <w:sz w:val="24"/>
        </w:rPr>
        <w:t>Institutional</w:t>
      </w:r>
      <w:r>
        <w:rPr>
          <w:spacing w:val="-9"/>
          <w:sz w:val="24"/>
        </w:rPr>
        <w:t xml:space="preserve"> </w:t>
      </w:r>
      <w:r>
        <w:rPr>
          <w:sz w:val="24"/>
        </w:rPr>
        <w:t>Review</w:t>
      </w:r>
      <w:r>
        <w:rPr>
          <w:spacing w:val="-3"/>
          <w:sz w:val="24"/>
        </w:rPr>
        <w:t xml:space="preserve"> </w:t>
      </w:r>
      <w:r>
        <w:rPr>
          <w:sz w:val="24"/>
        </w:rPr>
        <w:t>Board</w:t>
      </w:r>
      <w:r>
        <w:rPr>
          <w:sz w:val="24"/>
        </w:rPr>
        <w:tab/>
        <w:t xml:space="preserve">Effective Date: </w:t>
      </w:r>
      <w:r>
        <w:rPr>
          <w:spacing w:val="49"/>
          <w:sz w:val="24"/>
        </w:rPr>
        <w:t xml:space="preserve"> </w:t>
      </w:r>
      <w:r>
        <w:rPr>
          <w:sz w:val="24"/>
        </w:rPr>
        <w:t>05/06/2015</w:t>
      </w:r>
    </w:p>
    <w:p w:rsidR="00420CB4" w:rsidRDefault="00420CB4">
      <w:pPr>
        <w:pStyle w:val="BodyText"/>
        <w:spacing w:before="5"/>
        <w:rPr>
          <w:sz w:val="35"/>
          <w:u w:val="none"/>
        </w:rPr>
      </w:pPr>
    </w:p>
    <w:p w:rsidR="00420CB4" w:rsidRDefault="0063794D">
      <w:pPr>
        <w:pStyle w:val="BodyText"/>
        <w:ind w:left="300" w:right="219"/>
        <w:jc w:val="both"/>
        <w:rPr>
          <w:u w:val="none"/>
        </w:rPr>
      </w:pPr>
      <w:r>
        <w:rPr>
          <w:b/>
        </w:rPr>
        <w:t>SCOPE</w:t>
      </w:r>
      <w:r>
        <w:rPr>
          <w:b/>
          <w:u w:val="none"/>
        </w:rPr>
        <w:t xml:space="preserve">: </w:t>
      </w:r>
      <w:r>
        <w:rPr>
          <w:u w:val="none"/>
        </w:rPr>
        <w:t>These policies and procedures apply to all research involving children submitted to the Institutional Review Board (“IRB”) established by Phoebe Putney Memorial Hospital, Inc., which is responsible for oversight of all research involving human subjects con</w:t>
      </w:r>
      <w:r>
        <w:rPr>
          <w:u w:val="none"/>
        </w:rPr>
        <w:t>ducted on the premises of, or supported by PPMH. Research involving children at PPMH does not include children that are</w:t>
      </w:r>
      <w:r>
        <w:rPr>
          <w:spacing w:val="3"/>
          <w:u w:val="none"/>
        </w:rPr>
        <w:t xml:space="preserve"> </w:t>
      </w:r>
      <w:r>
        <w:rPr>
          <w:u w:val="none"/>
        </w:rPr>
        <w:t>prisoners.</w:t>
      </w:r>
    </w:p>
    <w:p w:rsidR="00420CB4" w:rsidRDefault="00420CB4">
      <w:pPr>
        <w:pStyle w:val="BodyText"/>
        <w:spacing w:before="1"/>
        <w:rPr>
          <w:u w:val="none"/>
        </w:rPr>
      </w:pPr>
    </w:p>
    <w:p w:rsidR="00420CB4" w:rsidRDefault="0063794D">
      <w:pPr>
        <w:pStyle w:val="BodyText"/>
        <w:ind w:left="299" w:right="218"/>
        <w:jc w:val="both"/>
        <w:rPr>
          <w:u w:val="none"/>
        </w:rPr>
      </w:pPr>
      <w:r>
        <w:rPr>
          <w:b/>
        </w:rPr>
        <w:t>PURPOSE</w:t>
      </w:r>
      <w:r>
        <w:rPr>
          <w:b/>
          <w:u w:val="none"/>
        </w:rPr>
        <w:t xml:space="preserve">: </w:t>
      </w:r>
      <w:r>
        <w:rPr>
          <w:u w:val="none"/>
        </w:rPr>
        <w:t>Special ethical and regulatory considerations apply when research involves children as subjects. Children are inher</w:t>
      </w:r>
      <w:r>
        <w:rPr>
          <w:u w:val="none"/>
        </w:rPr>
        <w:t>ently more vulnerable than adults, thus requiring a higher level of protection, and are legally incapable of giving valid informed consent. The IRB will apply the requirements and guidance found in federal regulations 45 CFR 46, Subpart D, “Additional Prot</w:t>
      </w:r>
      <w:r>
        <w:rPr>
          <w:u w:val="none"/>
        </w:rPr>
        <w:t>ections for Children Involved in Research” (see SC 503, “Children as a Vulnerable Population”). This includes provision for obtaining assent from the child or minor and permission from the parent(s) or</w:t>
      </w:r>
      <w:r>
        <w:rPr>
          <w:spacing w:val="-11"/>
          <w:u w:val="none"/>
        </w:rPr>
        <w:t xml:space="preserve"> </w:t>
      </w:r>
      <w:r>
        <w:rPr>
          <w:u w:val="none"/>
        </w:rPr>
        <w:t>guardian.</w:t>
      </w:r>
    </w:p>
    <w:p w:rsidR="00420CB4" w:rsidRDefault="00420CB4">
      <w:pPr>
        <w:pStyle w:val="BodyText"/>
        <w:spacing w:before="11"/>
        <w:rPr>
          <w:sz w:val="23"/>
          <w:u w:val="none"/>
        </w:rPr>
      </w:pPr>
    </w:p>
    <w:p w:rsidR="00420CB4" w:rsidRDefault="0063794D">
      <w:pPr>
        <w:pStyle w:val="BodyText"/>
        <w:ind w:left="299"/>
        <w:jc w:val="both"/>
        <w:rPr>
          <w:u w:val="none"/>
        </w:rPr>
      </w:pPr>
      <w:r>
        <w:rPr>
          <w:b/>
        </w:rPr>
        <w:t>DEFINITIONS</w:t>
      </w:r>
      <w:r>
        <w:rPr>
          <w:b/>
          <w:u w:val="none"/>
        </w:rPr>
        <w:t xml:space="preserve">: </w:t>
      </w:r>
      <w:r>
        <w:rPr>
          <w:u w:val="none"/>
        </w:rPr>
        <w:t>(as per federal regulations at 45 CFR 46.402 and 45 CFR 46.403(c))</w:t>
      </w:r>
    </w:p>
    <w:p w:rsidR="00420CB4" w:rsidRDefault="00420CB4">
      <w:pPr>
        <w:pStyle w:val="BodyText"/>
        <w:spacing w:before="11"/>
        <w:rPr>
          <w:sz w:val="15"/>
          <w:u w:val="none"/>
        </w:rPr>
      </w:pPr>
    </w:p>
    <w:p w:rsidR="00420CB4" w:rsidRDefault="0063794D">
      <w:pPr>
        <w:pStyle w:val="BodyText"/>
        <w:spacing w:before="92"/>
        <w:ind w:left="300"/>
        <w:rPr>
          <w:u w:val="none"/>
        </w:rPr>
      </w:pPr>
      <w:r>
        <w:t>Assent</w:t>
      </w:r>
      <w:r>
        <w:rPr>
          <w:u w:val="none"/>
        </w:rPr>
        <w:t>: A child’s affirmative agreement to participate in research. Mere failure to object should not, absent affirmative agreement, be construed as assent.</w:t>
      </w:r>
    </w:p>
    <w:p w:rsidR="00420CB4" w:rsidRDefault="00420CB4">
      <w:pPr>
        <w:pStyle w:val="BodyText"/>
        <w:spacing w:before="1"/>
        <w:rPr>
          <w:u w:val="none"/>
        </w:rPr>
      </w:pPr>
    </w:p>
    <w:p w:rsidR="00420CB4" w:rsidRDefault="0063794D">
      <w:pPr>
        <w:pStyle w:val="BodyText"/>
        <w:ind w:left="300" w:right="216"/>
        <w:rPr>
          <w:u w:val="none"/>
        </w:rPr>
      </w:pPr>
      <w:r>
        <w:t>Children</w:t>
      </w:r>
      <w:r>
        <w:rPr>
          <w:u w:val="none"/>
        </w:rPr>
        <w:t>: Persons who have not</w:t>
      </w:r>
      <w:r>
        <w:rPr>
          <w:u w:val="none"/>
        </w:rPr>
        <w:t xml:space="preserve"> attained the legal age for consent to treatments or procedures involved in the research, under the applicable law of the jurisdiction in which the research will be conducted. The State of Georgia defines children, or minors, as those persons under the age</w:t>
      </w:r>
      <w:r>
        <w:rPr>
          <w:u w:val="none"/>
        </w:rPr>
        <w:t xml:space="preserve"> of 18.</w:t>
      </w:r>
    </w:p>
    <w:p w:rsidR="00420CB4" w:rsidRDefault="00420CB4">
      <w:pPr>
        <w:pStyle w:val="BodyText"/>
        <w:spacing w:before="10"/>
        <w:rPr>
          <w:sz w:val="23"/>
          <w:u w:val="none"/>
        </w:rPr>
      </w:pPr>
    </w:p>
    <w:p w:rsidR="00420CB4" w:rsidRDefault="0063794D">
      <w:pPr>
        <w:pStyle w:val="BodyText"/>
        <w:ind w:left="300" w:right="288"/>
        <w:rPr>
          <w:u w:val="none"/>
        </w:rPr>
      </w:pPr>
      <w:r>
        <w:t>Guardian</w:t>
      </w:r>
      <w:r>
        <w:rPr>
          <w:u w:val="none"/>
        </w:rPr>
        <w:t>: An individual who is authorized under applicable State or local law to consent on before of a child to general medical care.</w:t>
      </w:r>
    </w:p>
    <w:p w:rsidR="00420CB4" w:rsidRDefault="00420CB4">
      <w:pPr>
        <w:pStyle w:val="BodyText"/>
        <w:rPr>
          <w:u w:val="none"/>
        </w:rPr>
      </w:pPr>
    </w:p>
    <w:p w:rsidR="00420CB4" w:rsidRDefault="0063794D">
      <w:pPr>
        <w:pStyle w:val="BodyText"/>
        <w:spacing w:before="1"/>
        <w:ind w:left="300"/>
        <w:rPr>
          <w:u w:val="none"/>
        </w:rPr>
      </w:pPr>
      <w:r>
        <w:t>Parent</w:t>
      </w:r>
      <w:r>
        <w:rPr>
          <w:u w:val="none"/>
        </w:rPr>
        <w:t>: A child’s biological or adoptive parent.</w:t>
      </w:r>
    </w:p>
    <w:p w:rsidR="00420CB4" w:rsidRDefault="00420CB4">
      <w:pPr>
        <w:pStyle w:val="BodyText"/>
        <w:spacing w:before="10"/>
        <w:rPr>
          <w:sz w:val="15"/>
          <w:u w:val="none"/>
        </w:rPr>
      </w:pPr>
    </w:p>
    <w:p w:rsidR="00420CB4" w:rsidRDefault="0063794D">
      <w:pPr>
        <w:pStyle w:val="BodyText"/>
        <w:spacing w:before="93"/>
        <w:ind w:left="300"/>
        <w:rPr>
          <w:u w:val="none"/>
        </w:rPr>
      </w:pPr>
      <w:r>
        <w:t>Permission</w:t>
      </w:r>
      <w:r>
        <w:rPr>
          <w:u w:val="none"/>
        </w:rPr>
        <w:t>: The agreement of parent(s) or guardian to the par</w:t>
      </w:r>
      <w:r>
        <w:rPr>
          <w:u w:val="none"/>
        </w:rPr>
        <w:t>ticipation of their child or ward in research.</w:t>
      </w:r>
    </w:p>
    <w:p w:rsidR="00420CB4" w:rsidRDefault="00420CB4">
      <w:pPr>
        <w:pStyle w:val="BodyText"/>
        <w:spacing w:before="11"/>
        <w:rPr>
          <w:sz w:val="15"/>
          <w:u w:val="none"/>
        </w:rPr>
      </w:pPr>
    </w:p>
    <w:p w:rsidR="00420CB4" w:rsidRDefault="0063794D">
      <w:pPr>
        <w:pStyle w:val="BodyText"/>
        <w:spacing w:before="92"/>
        <w:ind w:left="300" w:right="216"/>
        <w:rPr>
          <w:u w:val="none"/>
        </w:rPr>
      </w:pPr>
      <w:r>
        <w:t>Prisoners</w:t>
      </w:r>
      <w:r>
        <w:rPr>
          <w:u w:val="none"/>
        </w:rPr>
        <w:t xml:space="preserve">: </w:t>
      </w:r>
      <w:r>
        <w:rPr>
          <w:color w:val="323232"/>
          <w:u w:val="none"/>
        </w:rPr>
        <w:t xml:space="preserve">Any individual involuntarily confined or detained in a penal institution. The </w:t>
      </w:r>
      <w:r>
        <w:rPr>
          <w:color w:val="323232"/>
          <w:u w:val="none"/>
        </w:rPr>
        <w:lastRenderedPageBreak/>
        <w:t>term is intended to encompass individuals sentenced to such an institution under a criminal or civil statute, individua</w:t>
      </w:r>
      <w:r>
        <w:rPr>
          <w:color w:val="323232"/>
          <w:u w:val="none"/>
        </w:rPr>
        <w:t>ls detained in other facilities by virtue of statutes or commitment procedures which provide alternatives to criminal prosecution or incarceration in a penal institution, and individuals detained pending arraignment, trial, or sentencing</w:t>
      </w:r>
    </w:p>
    <w:p w:rsidR="00420CB4" w:rsidRDefault="00420CB4">
      <w:pPr>
        <w:sectPr w:rsidR="00420CB4">
          <w:footerReference w:type="default" r:id="rId7"/>
          <w:type w:val="continuous"/>
          <w:pgSz w:w="12240" w:h="15840"/>
          <w:pgMar w:top="1360" w:right="1220" w:bottom="1520" w:left="1140" w:header="720" w:footer="1338" w:gutter="0"/>
          <w:pgNumType w:start="1"/>
          <w:cols w:space="720"/>
        </w:sectPr>
      </w:pPr>
    </w:p>
    <w:p w:rsidR="00420CB4" w:rsidRDefault="0063794D">
      <w:pPr>
        <w:pStyle w:val="Heading1"/>
        <w:spacing w:before="79"/>
        <w:ind w:left="299"/>
      </w:pPr>
      <w:r>
        <w:rPr>
          <w:u w:val="single"/>
        </w:rPr>
        <w:lastRenderedPageBreak/>
        <w:t>POLICY&amp; PROCEDURE:</w:t>
      </w:r>
    </w:p>
    <w:p w:rsidR="00420CB4" w:rsidRDefault="00420CB4">
      <w:pPr>
        <w:pStyle w:val="BodyText"/>
        <w:spacing w:before="10"/>
        <w:rPr>
          <w:b/>
          <w:sz w:val="15"/>
          <w:u w:val="none"/>
        </w:rPr>
      </w:pPr>
    </w:p>
    <w:p w:rsidR="00420CB4" w:rsidRDefault="0063794D">
      <w:pPr>
        <w:pStyle w:val="ListParagraph"/>
        <w:numPr>
          <w:ilvl w:val="0"/>
          <w:numId w:val="3"/>
        </w:numPr>
        <w:tabs>
          <w:tab w:val="left" w:pos="3631"/>
          <w:tab w:val="left" w:pos="3632"/>
        </w:tabs>
        <w:spacing w:before="93"/>
        <w:jc w:val="left"/>
        <w:rPr>
          <w:b/>
        </w:rPr>
      </w:pPr>
      <w:r>
        <w:rPr>
          <w:b/>
        </w:rPr>
        <w:t>PERMISSIBLE RESEARCH WITH CHILDREN</w:t>
      </w:r>
    </w:p>
    <w:p w:rsidR="00420CB4" w:rsidRDefault="00420CB4">
      <w:pPr>
        <w:pStyle w:val="BodyText"/>
        <w:spacing w:before="1"/>
        <w:rPr>
          <w:b/>
          <w:sz w:val="22"/>
          <w:u w:val="none"/>
        </w:rPr>
      </w:pPr>
    </w:p>
    <w:p w:rsidR="00420CB4" w:rsidRDefault="0063794D">
      <w:pPr>
        <w:pStyle w:val="BodyText"/>
        <w:ind w:left="300" w:right="219"/>
        <w:jc w:val="both"/>
        <w:rPr>
          <w:u w:val="none"/>
        </w:rPr>
      </w:pPr>
      <w:r>
        <w:rPr>
          <w:u w:val="none"/>
        </w:rPr>
        <w:t>The IRB will approve research involving children only if the research presents no greater than minimal risk to children and only if the IRB finds that adequate provisions are made for soliciting the assent of the childre</w:t>
      </w:r>
      <w:r>
        <w:rPr>
          <w:u w:val="none"/>
        </w:rPr>
        <w:t>n and the permission of their parents or guardians, as set forth in 45 CFR §46.408.</w:t>
      </w:r>
    </w:p>
    <w:p w:rsidR="00420CB4" w:rsidRDefault="00420CB4">
      <w:pPr>
        <w:pStyle w:val="BodyText"/>
        <w:rPr>
          <w:u w:val="none"/>
        </w:rPr>
      </w:pPr>
    </w:p>
    <w:p w:rsidR="00420CB4" w:rsidRDefault="0063794D">
      <w:pPr>
        <w:pStyle w:val="Heading1"/>
        <w:numPr>
          <w:ilvl w:val="0"/>
          <w:numId w:val="3"/>
        </w:numPr>
        <w:tabs>
          <w:tab w:val="left" w:pos="4519"/>
          <w:tab w:val="left" w:pos="4520"/>
        </w:tabs>
        <w:spacing w:before="0"/>
        <w:ind w:left="4519" w:hanging="719"/>
        <w:jc w:val="left"/>
      </w:pPr>
      <w:r>
        <w:t>CHILD’S</w:t>
      </w:r>
      <w:r>
        <w:rPr>
          <w:spacing w:val="-1"/>
        </w:rPr>
        <w:t xml:space="preserve"> </w:t>
      </w:r>
      <w:r>
        <w:t>ASSENT</w:t>
      </w:r>
    </w:p>
    <w:p w:rsidR="00420CB4" w:rsidRDefault="00420CB4">
      <w:pPr>
        <w:pStyle w:val="BodyText"/>
        <w:rPr>
          <w:b/>
          <w:u w:val="none"/>
        </w:rPr>
      </w:pPr>
    </w:p>
    <w:p w:rsidR="00420CB4" w:rsidRDefault="0063794D">
      <w:pPr>
        <w:pStyle w:val="ListParagraph"/>
        <w:numPr>
          <w:ilvl w:val="0"/>
          <w:numId w:val="2"/>
        </w:numPr>
        <w:tabs>
          <w:tab w:val="left" w:pos="1739"/>
          <w:tab w:val="left" w:pos="1740"/>
        </w:tabs>
        <w:ind w:hanging="719"/>
        <w:rPr>
          <w:sz w:val="24"/>
        </w:rPr>
      </w:pPr>
      <w:r>
        <w:rPr>
          <w:sz w:val="24"/>
          <w:u w:val="single"/>
        </w:rPr>
        <w:t>Assent</w:t>
      </w:r>
    </w:p>
    <w:p w:rsidR="00420CB4" w:rsidRDefault="00420CB4">
      <w:pPr>
        <w:pStyle w:val="BodyText"/>
        <w:spacing w:before="11"/>
        <w:rPr>
          <w:sz w:val="15"/>
          <w:u w:val="none"/>
        </w:rPr>
      </w:pPr>
    </w:p>
    <w:p w:rsidR="00420CB4" w:rsidRDefault="0063794D">
      <w:pPr>
        <w:pStyle w:val="BodyText"/>
        <w:spacing w:before="92"/>
        <w:ind w:left="300" w:right="217"/>
        <w:jc w:val="both"/>
        <w:rPr>
          <w:u w:val="none"/>
        </w:rPr>
      </w:pPr>
      <w:r>
        <w:rPr>
          <w:u w:val="none"/>
        </w:rPr>
        <w:t>In instances where the subject is not legally capable of giving informed consent, the IRB must find that adequate provisions are made for obtaining the assent of the subject when in the judgment of the IRB, the subject should be capable of providing assent</w:t>
      </w:r>
      <w:r>
        <w:rPr>
          <w:u w:val="none"/>
        </w:rPr>
        <w:t>.</w:t>
      </w:r>
    </w:p>
    <w:p w:rsidR="00420CB4" w:rsidRDefault="00420CB4">
      <w:pPr>
        <w:pStyle w:val="BodyText"/>
        <w:rPr>
          <w:u w:val="none"/>
        </w:rPr>
      </w:pPr>
    </w:p>
    <w:p w:rsidR="00420CB4" w:rsidRDefault="0063794D">
      <w:pPr>
        <w:pStyle w:val="ListParagraph"/>
        <w:numPr>
          <w:ilvl w:val="0"/>
          <w:numId w:val="1"/>
        </w:numPr>
        <w:tabs>
          <w:tab w:val="left" w:pos="1431"/>
        </w:tabs>
        <w:ind w:right="219" w:hanging="360"/>
        <w:jc w:val="both"/>
      </w:pPr>
      <w:r>
        <w:t>In determining whether subjects are capable of assenting, the IRB shall take into account the age, maturity, and psychological state of the subject involved. This judgment may be made for all subjects to be</w:t>
      </w:r>
      <w:r>
        <w:rPr>
          <w:spacing w:val="-3"/>
        </w:rPr>
        <w:t xml:space="preserve"> </w:t>
      </w:r>
      <w:r>
        <w:t>involved</w:t>
      </w:r>
      <w:r>
        <w:rPr>
          <w:spacing w:val="-3"/>
        </w:rPr>
        <w:t xml:space="preserve"> </w:t>
      </w:r>
      <w:r>
        <w:t>in</w:t>
      </w:r>
      <w:r>
        <w:rPr>
          <w:spacing w:val="-3"/>
        </w:rPr>
        <w:t xml:space="preserve"> </w:t>
      </w:r>
      <w:r>
        <w:t>research</w:t>
      </w:r>
      <w:r>
        <w:rPr>
          <w:spacing w:val="-3"/>
        </w:rPr>
        <w:t xml:space="preserve"> </w:t>
      </w:r>
      <w:r>
        <w:t>under</w:t>
      </w:r>
      <w:r>
        <w:rPr>
          <w:spacing w:val="-2"/>
        </w:rPr>
        <w:t xml:space="preserve"> </w:t>
      </w:r>
      <w:r>
        <w:t>a</w:t>
      </w:r>
      <w:r>
        <w:rPr>
          <w:spacing w:val="-2"/>
        </w:rPr>
        <w:t xml:space="preserve"> </w:t>
      </w:r>
      <w:r>
        <w:t>particular</w:t>
      </w:r>
      <w:r>
        <w:rPr>
          <w:spacing w:val="-2"/>
        </w:rPr>
        <w:t xml:space="preserve"> </w:t>
      </w:r>
      <w:r>
        <w:t>protoc</w:t>
      </w:r>
      <w:r>
        <w:t>ol,</w:t>
      </w:r>
      <w:r>
        <w:rPr>
          <w:spacing w:val="-3"/>
        </w:rPr>
        <w:t xml:space="preserve"> </w:t>
      </w:r>
      <w:r>
        <w:t>or</w:t>
      </w:r>
      <w:r>
        <w:rPr>
          <w:spacing w:val="-2"/>
        </w:rPr>
        <w:t xml:space="preserve"> </w:t>
      </w:r>
      <w:r>
        <w:t>for</w:t>
      </w:r>
      <w:r>
        <w:rPr>
          <w:spacing w:val="-2"/>
        </w:rPr>
        <w:t xml:space="preserve"> </w:t>
      </w:r>
      <w:r>
        <w:t>each</w:t>
      </w:r>
      <w:r>
        <w:rPr>
          <w:spacing w:val="-2"/>
        </w:rPr>
        <w:t xml:space="preserve"> </w:t>
      </w:r>
      <w:r>
        <w:t>subject,</w:t>
      </w:r>
      <w:r>
        <w:rPr>
          <w:spacing w:val="-3"/>
        </w:rPr>
        <w:t xml:space="preserve"> </w:t>
      </w:r>
      <w:r>
        <w:t>as</w:t>
      </w:r>
      <w:r>
        <w:rPr>
          <w:spacing w:val="-2"/>
        </w:rPr>
        <w:t xml:space="preserve"> </w:t>
      </w:r>
      <w:r>
        <w:t>the</w:t>
      </w:r>
      <w:r>
        <w:rPr>
          <w:spacing w:val="-3"/>
        </w:rPr>
        <w:t xml:space="preserve"> </w:t>
      </w:r>
      <w:r>
        <w:t>IRB</w:t>
      </w:r>
      <w:r>
        <w:rPr>
          <w:spacing w:val="-2"/>
        </w:rPr>
        <w:t xml:space="preserve"> </w:t>
      </w:r>
      <w:r>
        <w:t>deems</w:t>
      </w:r>
      <w:r>
        <w:rPr>
          <w:spacing w:val="-2"/>
        </w:rPr>
        <w:t xml:space="preserve"> </w:t>
      </w:r>
      <w:r>
        <w:t>appropriate.</w:t>
      </w:r>
    </w:p>
    <w:p w:rsidR="00420CB4" w:rsidRDefault="00420CB4">
      <w:pPr>
        <w:pStyle w:val="BodyText"/>
        <w:spacing w:before="10"/>
        <w:rPr>
          <w:sz w:val="21"/>
          <w:u w:val="none"/>
        </w:rPr>
      </w:pPr>
    </w:p>
    <w:p w:rsidR="00420CB4" w:rsidRDefault="0063794D">
      <w:pPr>
        <w:pStyle w:val="ListParagraph"/>
        <w:numPr>
          <w:ilvl w:val="0"/>
          <w:numId w:val="1"/>
        </w:numPr>
        <w:tabs>
          <w:tab w:val="left" w:pos="1381"/>
        </w:tabs>
        <w:spacing w:before="1"/>
        <w:ind w:right="218" w:hanging="360"/>
        <w:jc w:val="both"/>
      </w:pPr>
      <w:r>
        <w:t>When the IRB determines that assent is required, it shall also determine whether and how assent must be documented.</w:t>
      </w:r>
    </w:p>
    <w:p w:rsidR="00420CB4" w:rsidRDefault="00420CB4">
      <w:pPr>
        <w:pStyle w:val="BodyText"/>
        <w:rPr>
          <w:u w:val="none"/>
        </w:rPr>
      </w:pPr>
    </w:p>
    <w:p w:rsidR="00420CB4" w:rsidRDefault="00420CB4">
      <w:pPr>
        <w:pStyle w:val="BodyText"/>
        <w:rPr>
          <w:sz w:val="20"/>
          <w:u w:val="none"/>
        </w:rPr>
      </w:pPr>
    </w:p>
    <w:p w:rsidR="00420CB4" w:rsidRDefault="0063794D">
      <w:pPr>
        <w:pStyle w:val="ListParagraph"/>
        <w:numPr>
          <w:ilvl w:val="0"/>
          <w:numId w:val="2"/>
        </w:numPr>
        <w:tabs>
          <w:tab w:val="left" w:pos="1739"/>
          <w:tab w:val="left" w:pos="1740"/>
        </w:tabs>
        <w:ind w:hanging="719"/>
      </w:pPr>
      <w:r>
        <w:rPr>
          <w:u w:val="single"/>
        </w:rPr>
        <w:t>Wavier of</w:t>
      </w:r>
      <w:r>
        <w:rPr>
          <w:spacing w:val="-1"/>
          <w:u w:val="single"/>
        </w:rPr>
        <w:t xml:space="preserve"> </w:t>
      </w:r>
      <w:r>
        <w:rPr>
          <w:u w:val="single"/>
        </w:rPr>
        <w:t>Assent</w:t>
      </w:r>
    </w:p>
    <w:p w:rsidR="00420CB4" w:rsidRDefault="00420CB4">
      <w:pPr>
        <w:pStyle w:val="BodyText"/>
        <w:spacing w:before="10"/>
        <w:rPr>
          <w:sz w:val="13"/>
          <w:u w:val="none"/>
        </w:rPr>
      </w:pPr>
    </w:p>
    <w:p w:rsidR="00420CB4" w:rsidRDefault="0063794D">
      <w:pPr>
        <w:spacing w:before="93"/>
        <w:ind w:left="300" w:right="217"/>
        <w:jc w:val="both"/>
      </w:pPr>
      <w:r>
        <w:t>If the IRB determines that the capability of some or all of the subjects is so limited that they cannot reasonably be consulted or that the intervention or procedure involved in the research holds out a prospect of direct benefit that is important to the h</w:t>
      </w:r>
      <w:r>
        <w:t xml:space="preserve">ealth or well-being of the subject and is available only in the context of the research, the assent of the subject is not a necessary condition for proceeding with the research. Even where the IRB determines that the subjects are capable of assenting, the </w:t>
      </w:r>
      <w:r>
        <w:t>IRB may still waive the assent requirement under circumstances in which consent may be waived, in accordance with 45 CFR 46.116.</w:t>
      </w:r>
    </w:p>
    <w:p w:rsidR="00420CB4" w:rsidRDefault="00420CB4">
      <w:pPr>
        <w:pStyle w:val="BodyText"/>
        <w:rPr>
          <w:u w:val="none"/>
        </w:rPr>
      </w:pPr>
    </w:p>
    <w:p w:rsidR="00420CB4" w:rsidRDefault="0063794D">
      <w:pPr>
        <w:pStyle w:val="Heading1"/>
        <w:tabs>
          <w:tab w:val="left" w:pos="3601"/>
        </w:tabs>
        <w:ind w:left="2882"/>
      </w:pPr>
      <w:r>
        <w:t>II.</w:t>
      </w:r>
      <w:r>
        <w:tab/>
        <w:t>PARENTAL/GUARDIAN PERMISSION</w:t>
      </w:r>
    </w:p>
    <w:p w:rsidR="00420CB4" w:rsidRDefault="00420CB4">
      <w:pPr>
        <w:pStyle w:val="BodyText"/>
        <w:spacing w:before="10"/>
        <w:rPr>
          <w:b/>
          <w:sz w:val="23"/>
          <w:u w:val="none"/>
        </w:rPr>
      </w:pPr>
    </w:p>
    <w:p w:rsidR="00420CB4" w:rsidRDefault="0063794D">
      <w:pPr>
        <w:pStyle w:val="ListParagraph"/>
        <w:numPr>
          <w:ilvl w:val="1"/>
          <w:numId w:val="2"/>
        </w:numPr>
        <w:tabs>
          <w:tab w:val="left" w:pos="1471"/>
        </w:tabs>
        <w:spacing w:before="1"/>
        <w:ind w:hanging="360"/>
      </w:pPr>
      <w:r>
        <w:rPr>
          <w:u w:val="single"/>
        </w:rPr>
        <w:t>Parental/Guardian</w:t>
      </w:r>
      <w:r>
        <w:rPr>
          <w:spacing w:val="-2"/>
          <w:u w:val="single"/>
        </w:rPr>
        <w:t xml:space="preserve"> </w:t>
      </w:r>
      <w:r>
        <w:rPr>
          <w:u w:val="single"/>
        </w:rPr>
        <w:t>Permission</w:t>
      </w:r>
    </w:p>
    <w:p w:rsidR="00420CB4" w:rsidRDefault="00420CB4">
      <w:pPr>
        <w:pStyle w:val="BodyText"/>
        <w:spacing w:before="10"/>
        <w:rPr>
          <w:sz w:val="13"/>
          <w:u w:val="none"/>
        </w:rPr>
      </w:pPr>
    </w:p>
    <w:p w:rsidR="00420CB4" w:rsidRDefault="0063794D">
      <w:pPr>
        <w:spacing w:before="93"/>
        <w:ind w:left="300" w:right="220"/>
        <w:jc w:val="both"/>
      </w:pPr>
      <w:r>
        <w:t xml:space="preserve">The IRB shall determine that adequate provisions are made for soliciting the permission of each child’s parent(s) or guardian. </w:t>
      </w:r>
      <w:r>
        <w:rPr>
          <w:color w:val="323232"/>
        </w:rPr>
        <w:t xml:space="preserve">Where parental permission is to be obtained, the IRB may find that the permission of one parent is sufficient. </w:t>
      </w:r>
      <w:r>
        <w:t>Permission by pare</w:t>
      </w:r>
      <w:r>
        <w:t>nts or guardians shall be documented in accordance with 45 CFR 46.117.</w:t>
      </w:r>
    </w:p>
    <w:p w:rsidR="00420CB4" w:rsidRDefault="00420CB4">
      <w:pPr>
        <w:pStyle w:val="BodyText"/>
        <w:spacing w:before="11"/>
        <w:rPr>
          <w:sz w:val="21"/>
          <w:u w:val="none"/>
        </w:rPr>
      </w:pPr>
    </w:p>
    <w:p w:rsidR="00420CB4" w:rsidRDefault="0063794D">
      <w:pPr>
        <w:pStyle w:val="ListParagraph"/>
        <w:numPr>
          <w:ilvl w:val="1"/>
          <w:numId w:val="2"/>
        </w:numPr>
        <w:tabs>
          <w:tab w:val="left" w:pos="1471"/>
        </w:tabs>
        <w:ind w:hanging="360"/>
      </w:pPr>
      <w:r>
        <w:rPr>
          <w:u w:val="single"/>
        </w:rPr>
        <w:t>Waiver of Parental/Guardian</w:t>
      </w:r>
      <w:r>
        <w:rPr>
          <w:spacing w:val="-2"/>
          <w:u w:val="single"/>
        </w:rPr>
        <w:t xml:space="preserve"> </w:t>
      </w:r>
      <w:r>
        <w:rPr>
          <w:u w:val="single"/>
        </w:rPr>
        <w:t>Permission</w:t>
      </w:r>
    </w:p>
    <w:p w:rsidR="00420CB4" w:rsidRDefault="00420CB4">
      <w:pPr>
        <w:pStyle w:val="BodyText"/>
        <w:rPr>
          <w:sz w:val="20"/>
          <w:u w:val="none"/>
        </w:rPr>
      </w:pPr>
    </w:p>
    <w:p w:rsidR="00420CB4" w:rsidRDefault="00420CB4">
      <w:pPr>
        <w:pStyle w:val="BodyText"/>
        <w:rPr>
          <w:sz w:val="20"/>
          <w:u w:val="none"/>
        </w:rPr>
      </w:pPr>
    </w:p>
    <w:p w:rsidR="00420CB4" w:rsidRDefault="0063794D">
      <w:pPr>
        <w:pStyle w:val="BodyText"/>
        <w:spacing w:before="93"/>
        <w:ind w:left="300"/>
        <w:rPr>
          <w:u w:val="none"/>
        </w:rPr>
      </w:pPr>
      <w:r>
        <w:rPr>
          <w:u w:val="none"/>
        </w:rPr>
        <w:t>In accordance with 45 CFR 46.408, the IRB may waive the requirements for obtaining parental or guardian permission for research involving child</w:t>
      </w:r>
      <w:r>
        <w:rPr>
          <w:u w:val="none"/>
        </w:rPr>
        <w:t>ren if EITHER of the following sets of conditions is met:</w:t>
      </w:r>
    </w:p>
    <w:p w:rsidR="00420CB4" w:rsidRDefault="00420CB4">
      <w:pPr>
        <w:pStyle w:val="BodyText"/>
        <w:spacing w:before="10"/>
        <w:rPr>
          <w:sz w:val="23"/>
          <w:u w:val="none"/>
        </w:rPr>
      </w:pPr>
    </w:p>
    <w:p w:rsidR="00420CB4" w:rsidRDefault="0063794D">
      <w:pPr>
        <w:pStyle w:val="ListParagraph"/>
        <w:numPr>
          <w:ilvl w:val="2"/>
          <w:numId w:val="2"/>
        </w:numPr>
        <w:tabs>
          <w:tab w:val="left" w:pos="1469"/>
          <w:tab w:val="left" w:pos="1471"/>
        </w:tabs>
        <w:spacing w:before="1"/>
        <w:ind w:hanging="360"/>
      </w:pPr>
      <w:r>
        <w:t>The IRB makes and documents the required findings under either 45 CFR 46.116(c) or 46.116(d)</w:t>
      </w:r>
      <w:r>
        <w:rPr>
          <w:spacing w:val="-31"/>
        </w:rPr>
        <w:t xml:space="preserve"> </w:t>
      </w:r>
      <w:r>
        <w:t>OR</w:t>
      </w:r>
    </w:p>
    <w:p w:rsidR="00420CB4" w:rsidRDefault="00420CB4">
      <w:pPr>
        <w:sectPr w:rsidR="00420CB4">
          <w:pgSz w:w="12240" w:h="15840"/>
          <w:pgMar w:top="1360" w:right="1220" w:bottom="1520" w:left="1140" w:header="0" w:footer="1338" w:gutter="0"/>
          <w:cols w:space="720"/>
        </w:sectPr>
      </w:pPr>
    </w:p>
    <w:p w:rsidR="00420CB4" w:rsidRDefault="0063794D">
      <w:pPr>
        <w:pStyle w:val="ListParagraph"/>
        <w:numPr>
          <w:ilvl w:val="2"/>
          <w:numId w:val="2"/>
        </w:numPr>
        <w:tabs>
          <w:tab w:val="left" w:pos="1471"/>
        </w:tabs>
        <w:spacing w:before="79"/>
        <w:ind w:right="217" w:hanging="360"/>
        <w:jc w:val="both"/>
      </w:pPr>
      <w:r>
        <w:t>The IRB determines that a research protocol is designed to study conditions in children</w:t>
      </w:r>
      <w:r>
        <w:t xml:space="preserve"> or a subject population for which parental or guardian permission is not a reasonable requirement to protect the subjects (e.g., neglected or abused children), and also finds that: (i) an appropriate mechanism for protecting the children who will particip</w:t>
      </w:r>
      <w:r>
        <w:t>ate as subjects in the research is substituted; and (ii) the waiver is not inconsistent with federal, state, or local</w:t>
      </w:r>
      <w:r>
        <w:rPr>
          <w:spacing w:val="-2"/>
        </w:rPr>
        <w:t xml:space="preserve"> </w:t>
      </w:r>
      <w:r>
        <w:t>law.</w:t>
      </w:r>
    </w:p>
    <w:p w:rsidR="00420CB4" w:rsidRDefault="00420CB4">
      <w:pPr>
        <w:pStyle w:val="BodyText"/>
        <w:rPr>
          <w:u w:val="none"/>
        </w:rPr>
      </w:pPr>
    </w:p>
    <w:p w:rsidR="00420CB4" w:rsidRDefault="0063794D">
      <w:pPr>
        <w:pStyle w:val="BodyText"/>
        <w:ind w:left="300" w:right="218"/>
        <w:jc w:val="both"/>
        <w:rPr>
          <w:u w:val="none"/>
        </w:rPr>
      </w:pPr>
      <w:r>
        <w:rPr>
          <w:u w:val="none"/>
        </w:rPr>
        <w:t>The choice of an appropriate substitute mechanism will depend on the nature and purpose of the activities described in the protocol, the risk and anticipated benefit to the research subjects, and their age, maturity, status, and condition.</w:t>
      </w:r>
    </w:p>
    <w:p w:rsidR="00420CB4" w:rsidRDefault="00420CB4">
      <w:pPr>
        <w:pStyle w:val="BodyText"/>
        <w:rPr>
          <w:sz w:val="26"/>
          <w:u w:val="none"/>
        </w:rPr>
      </w:pPr>
    </w:p>
    <w:p w:rsidR="00420CB4" w:rsidRDefault="00420CB4">
      <w:pPr>
        <w:pStyle w:val="BodyText"/>
        <w:rPr>
          <w:sz w:val="26"/>
          <w:u w:val="none"/>
        </w:rPr>
      </w:pPr>
    </w:p>
    <w:p w:rsidR="00420CB4" w:rsidRDefault="00420CB4">
      <w:pPr>
        <w:pStyle w:val="BodyText"/>
        <w:rPr>
          <w:sz w:val="26"/>
          <w:u w:val="none"/>
        </w:rPr>
      </w:pPr>
    </w:p>
    <w:p w:rsidR="00420CB4" w:rsidRDefault="0063794D">
      <w:pPr>
        <w:pStyle w:val="Heading1"/>
        <w:spacing w:before="184"/>
        <w:jc w:val="both"/>
        <w:rPr>
          <w:b w:val="0"/>
        </w:rPr>
      </w:pPr>
      <w:r>
        <w:rPr>
          <w:u w:val="single"/>
        </w:rPr>
        <w:t>REFERENCES</w:t>
      </w:r>
      <w:r>
        <w:rPr>
          <w:b w:val="0"/>
        </w:rPr>
        <w:t>:</w:t>
      </w:r>
    </w:p>
    <w:p w:rsidR="00420CB4" w:rsidRDefault="00420CB4">
      <w:pPr>
        <w:pStyle w:val="BodyText"/>
        <w:spacing w:before="11"/>
        <w:rPr>
          <w:sz w:val="15"/>
          <w:u w:val="none"/>
        </w:rPr>
      </w:pPr>
    </w:p>
    <w:p w:rsidR="00420CB4" w:rsidRDefault="0063794D">
      <w:pPr>
        <w:pStyle w:val="BodyText"/>
        <w:spacing w:before="93"/>
        <w:ind w:left="300"/>
        <w:rPr>
          <w:u w:val="none"/>
        </w:rPr>
      </w:pPr>
      <w:r>
        <w:rPr>
          <w:u w:val="none"/>
        </w:rPr>
        <w:t>45 CFR 46 Subpart D</w:t>
      </w:r>
    </w:p>
    <w:p w:rsidR="00420CB4" w:rsidRDefault="00420CB4">
      <w:pPr>
        <w:pStyle w:val="BodyText"/>
        <w:spacing w:before="10"/>
        <w:rPr>
          <w:sz w:val="15"/>
          <w:u w:val="none"/>
        </w:rPr>
      </w:pPr>
    </w:p>
    <w:p w:rsidR="00420CB4" w:rsidRDefault="0063794D">
      <w:pPr>
        <w:pStyle w:val="Heading1"/>
        <w:spacing w:before="93"/>
        <w:ind w:left="4025" w:right="3944"/>
        <w:jc w:val="center"/>
      </w:pPr>
      <w:r>
        <w:t>REVISION HISTORY</w:t>
      </w:r>
    </w:p>
    <w:p w:rsidR="00420CB4" w:rsidRDefault="00420CB4">
      <w:pPr>
        <w:pStyle w:val="BodyText"/>
        <w:rPr>
          <w:b/>
          <w:sz w:val="20"/>
          <w:u w:val="none"/>
        </w:rPr>
      </w:pPr>
    </w:p>
    <w:p w:rsidR="00420CB4" w:rsidRDefault="00420CB4">
      <w:pPr>
        <w:pStyle w:val="BodyText"/>
        <w:spacing w:before="1"/>
        <w:rPr>
          <w:b/>
          <w:sz w:val="28"/>
          <w:u w:val="none"/>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3690"/>
        <w:gridCol w:w="1854"/>
        <w:gridCol w:w="1854"/>
      </w:tblGrid>
      <w:tr w:rsidR="00420CB4">
        <w:trPr>
          <w:trHeight w:val="252"/>
        </w:trPr>
        <w:tc>
          <w:tcPr>
            <w:tcW w:w="2250" w:type="dxa"/>
            <w:shd w:val="clear" w:color="auto" w:fill="D9D9D9"/>
          </w:tcPr>
          <w:p w:rsidR="00420CB4" w:rsidRDefault="0063794D">
            <w:pPr>
              <w:pStyle w:val="TableParagraph"/>
              <w:spacing w:line="233" w:lineRule="exact"/>
              <w:ind w:left="220"/>
              <w:rPr>
                <w:b/>
              </w:rPr>
            </w:pPr>
            <w:r>
              <w:rPr>
                <w:b/>
              </w:rPr>
              <w:t>Revision Number</w:t>
            </w:r>
          </w:p>
        </w:tc>
        <w:tc>
          <w:tcPr>
            <w:tcW w:w="3690" w:type="dxa"/>
            <w:shd w:val="clear" w:color="auto" w:fill="D9D9D9"/>
          </w:tcPr>
          <w:p w:rsidR="00420CB4" w:rsidRDefault="0063794D">
            <w:pPr>
              <w:pStyle w:val="TableParagraph"/>
              <w:spacing w:line="233" w:lineRule="exact"/>
              <w:ind w:left="610"/>
              <w:rPr>
                <w:b/>
              </w:rPr>
            </w:pPr>
            <w:r>
              <w:rPr>
                <w:b/>
              </w:rPr>
              <w:t>Description of Changes</w:t>
            </w:r>
          </w:p>
        </w:tc>
        <w:tc>
          <w:tcPr>
            <w:tcW w:w="1854" w:type="dxa"/>
            <w:shd w:val="clear" w:color="auto" w:fill="D9D9D9"/>
          </w:tcPr>
          <w:p w:rsidR="00420CB4" w:rsidRDefault="0063794D">
            <w:pPr>
              <w:pStyle w:val="TableParagraph"/>
              <w:spacing w:line="233" w:lineRule="exact"/>
              <w:ind w:left="388"/>
              <w:rPr>
                <w:b/>
              </w:rPr>
            </w:pPr>
            <w:r>
              <w:rPr>
                <w:b/>
              </w:rPr>
              <w:t>Approvals</w:t>
            </w:r>
          </w:p>
        </w:tc>
        <w:tc>
          <w:tcPr>
            <w:tcW w:w="1854" w:type="dxa"/>
            <w:shd w:val="clear" w:color="auto" w:fill="D9D9D9"/>
          </w:tcPr>
          <w:p w:rsidR="00420CB4" w:rsidRDefault="0063794D">
            <w:pPr>
              <w:pStyle w:val="TableParagraph"/>
              <w:spacing w:line="233" w:lineRule="exact"/>
              <w:ind w:left="668" w:right="659"/>
              <w:jc w:val="center"/>
              <w:rPr>
                <w:b/>
              </w:rPr>
            </w:pPr>
            <w:r>
              <w:rPr>
                <w:b/>
              </w:rPr>
              <w:t>Date</w:t>
            </w:r>
          </w:p>
        </w:tc>
      </w:tr>
      <w:tr w:rsidR="00420CB4">
        <w:trPr>
          <w:trHeight w:val="275"/>
        </w:trPr>
        <w:tc>
          <w:tcPr>
            <w:tcW w:w="2250" w:type="dxa"/>
          </w:tcPr>
          <w:p w:rsidR="00420CB4" w:rsidRDefault="00420CB4">
            <w:pPr>
              <w:pStyle w:val="TableParagraph"/>
              <w:rPr>
                <w:rFonts w:ascii="Times New Roman"/>
                <w:sz w:val="20"/>
              </w:rPr>
            </w:pPr>
          </w:p>
        </w:tc>
        <w:tc>
          <w:tcPr>
            <w:tcW w:w="3690" w:type="dxa"/>
          </w:tcPr>
          <w:p w:rsidR="00420CB4" w:rsidRDefault="00420CB4">
            <w:pPr>
              <w:pStyle w:val="TableParagraph"/>
              <w:rPr>
                <w:rFonts w:ascii="Times New Roman"/>
                <w:sz w:val="20"/>
              </w:rPr>
            </w:pPr>
          </w:p>
        </w:tc>
        <w:tc>
          <w:tcPr>
            <w:tcW w:w="1854" w:type="dxa"/>
          </w:tcPr>
          <w:p w:rsidR="00420CB4" w:rsidRDefault="00420CB4">
            <w:pPr>
              <w:pStyle w:val="TableParagraph"/>
              <w:rPr>
                <w:rFonts w:ascii="Times New Roman"/>
                <w:sz w:val="20"/>
              </w:rPr>
            </w:pPr>
          </w:p>
        </w:tc>
        <w:tc>
          <w:tcPr>
            <w:tcW w:w="1854" w:type="dxa"/>
          </w:tcPr>
          <w:p w:rsidR="00420CB4" w:rsidRDefault="00420CB4">
            <w:pPr>
              <w:pStyle w:val="TableParagraph"/>
              <w:rPr>
                <w:rFonts w:ascii="Times New Roman"/>
                <w:sz w:val="20"/>
              </w:rPr>
            </w:pPr>
          </w:p>
        </w:tc>
      </w:tr>
      <w:tr w:rsidR="00420CB4">
        <w:trPr>
          <w:trHeight w:val="275"/>
        </w:trPr>
        <w:tc>
          <w:tcPr>
            <w:tcW w:w="2250" w:type="dxa"/>
          </w:tcPr>
          <w:p w:rsidR="00420CB4" w:rsidRDefault="00420CB4">
            <w:pPr>
              <w:pStyle w:val="TableParagraph"/>
              <w:rPr>
                <w:rFonts w:ascii="Times New Roman"/>
                <w:sz w:val="20"/>
              </w:rPr>
            </w:pPr>
          </w:p>
        </w:tc>
        <w:tc>
          <w:tcPr>
            <w:tcW w:w="3690" w:type="dxa"/>
          </w:tcPr>
          <w:p w:rsidR="00420CB4" w:rsidRDefault="00420CB4">
            <w:pPr>
              <w:pStyle w:val="TableParagraph"/>
              <w:rPr>
                <w:rFonts w:ascii="Times New Roman"/>
                <w:sz w:val="20"/>
              </w:rPr>
            </w:pPr>
          </w:p>
        </w:tc>
        <w:tc>
          <w:tcPr>
            <w:tcW w:w="1854" w:type="dxa"/>
          </w:tcPr>
          <w:p w:rsidR="00420CB4" w:rsidRDefault="00420CB4">
            <w:pPr>
              <w:pStyle w:val="TableParagraph"/>
              <w:rPr>
                <w:rFonts w:ascii="Times New Roman"/>
                <w:sz w:val="20"/>
              </w:rPr>
            </w:pPr>
          </w:p>
        </w:tc>
        <w:tc>
          <w:tcPr>
            <w:tcW w:w="1854" w:type="dxa"/>
          </w:tcPr>
          <w:p w:rsidR="00420CB4" w:rsidRDefault="00420CB4">
            <w:pPr>
              <w:pStyle w:val="TableParagraph"/>
              <w:rPr>
                <w:rFonts w:ascii="Times New Roman"/>
                <w:sz w:val="20"/>
              </w:rPr>
            </w:pPr>
          </w:p>
        </w:tc>
      </w:tr>
      <w:tr w:rsidR="00420CB4">
        <w:trPr>
          <w:trHeight w:val="276"/>
        </w:trPr>
        <w:tc>
          <w:tcPr>
            <w:tcW w:w="2250" w:type="dxa"/>
          </w:tcPr>
          <w:p w:rsidR="00420CB4" w:rsidRDefault="00420CB4">
            <w:pPr>
              <w:pStyle w:val="TableParagraph"/>
              <w:rPr>
                <w:rFonts w:ascii="Times New Roman"/>
                <w:sz w:val="20"/>
              </w:rPr>
            </w:pPr>
          </w:p>
        </w:tc>
        <w:tc>
          <w:tcPr>
            <w:tcW w:w="3690" w:type="dxa"/>
          </w:tcPr>
          <w:p w:rsidR="00420CB4" w:rsidRDefault="00420CB4">
            <w:pPr>
              <w:pStyle w:val="TableParagraph"/>
              <w:rPr>
                <w:rFonts w:ascii="Times New Roman"/>
                <w:sz w:val="20"/>
              </w:rPr>
            </w:pPr>
          </w:p>
        </w:tc>
        <w:tc>
          <w:tcPr>
            <w:tcW w:w="1854" w:type="dxa"/>
          </w:tcPr>
          <w:p w:rsidR="00420CB4" w:rsidRDefault="00420CB4">
            <w:pPr>
              <w:pStyle w:val="TableParagraph"/>
              <w:rPr>
                <w:rFonts w:ascii="Times New Roman"/>
                <w:sz w:val="20"/>
              </w:rPr>
            </w:pPr>
          </w:p>
        </w:tc>
        <w:tc>
          <w:tcPr>
            <w:tcW w:w="1854" w:type="dxa"/>
          </w:tcPr>
          <w:p w:rsidR="00420CB4" w:rsidRDefault="00420CB4">
            <w:pPr>
              <w:pStyle w:val="TableParagraph"/>
              <w:rPr>
                <w:rFonts w:ascii="Times New Roman"/>
                <w:sz w:val="20"/>
              </w:rPr>
            </w:pPr>
          </w:p>
        </w:tc>
      </w:tr>
      <w:tr w:rsidR="00420CB4">
        <w:trPr>
          <w:trHeight w:val="275"/>
        </w:trPr>
        <w:tc>
          <w:tcPr>
            <w:tcW w:w="2250" w:type="dxa"/>
          </w:tcPr>
          <w:p w:rsidR="00420CB4" w:rsidRDefault="00420CB4">
            <w:pPr>
              <w:pStyle w:val="TableParagraph"/>
              <w:rPr>
                <w:rFonts w:ascii="Times New Roman"/>
                <w:sz w:val="20"/>
              </w:rPr>
            </w:pPr>
          </w:p>
        </w:tc>
        <w:tc>
          <w:tcPr>
            <w:tcW w:w="3690" w:type="dxa"/>
          </w:tcPr>
          <w:p w:rsidR="00420CB4" w:rsidRDefault="00420CB4">
            <w:pPr>
              <w:pStyle w:val="TableParagraph"/>
              <w:rPr>
                <w:rFonts w:ascii="Times New Roman"/>
                <w:sz w:val="20"/>
              </w:rPr>
            </w:pPr>
          </w:p>
        </w:tc>
        <w:tc>
          <w:tcPr>
            <w:tcW w:w="1854" w:type="dxa"/>
          </w:tcPr>
          <w:p w:rsidR="00420CB4" w:rsidRDefault="00420CB4">
            <w:pPr>
              <w:pStyle w:val="TableParagraph"/>
              <w:rPr>
                <w:rFonts w:ascii="Times New Roman"/>
                <w:sz w:val="20"/>
              </w:rPr>
            </w:pPr>
          </w:p>
        </w:tc>
        <w:tc>
          <w:tcPr>
            <w:tcW w:w="1854" w:type="dxa"/>
          </w:tcPr>
          <w:p w:rsidR="00420CB4" w:rsidRDefault="00420CB4">
            <w:pPr>
              <w:pStyle w:val="TableParagraph"/>
              <w:rPr>
                <w:rFonts w:ascii="Times New Roman"/>
                <w:sz w:val="20"/>
              </w:rPr>
            </w:pPr>
          </w:p>
        </w:tc>
      </w:tr>
      <w:tr w:rsidR="00420CB4">
        <w:trPr>
          <w:trHeight w:val="276"/>
        </w:trPr>
        <w:tc>
          <w:tcPr>
            <w:tcW w:w="2250" w:type="dxa"/>
          </w:tcPr>
          <w:p w:rsidR="00420CB4" w:rsidRDefault="00420CB4">
            <w:pPr>
              <w:pStyle w:val="TableParagraph"/>
              <w:rPr>
                <w:rFonts w:ascii="Times New Roman"/>
                <w:sz w:val="20"/>
              </w:rPr>
            </w:pPr>
          </w:p>
        </w:tc>
        <w:tc>
          <w:tcPr>
            <w:tcW w:w="3690" w:type="dxa"/>
          </w:tcPr>
          <w:p w:rsidR="00420CB4" w:rsidRDefault="00420CB4">
            <w:pPr>
              <w:pStyle w:val="TableParagraph"/>
              <w:rPr>
                <w:rFonts w:ascii="Times New Roman"/>
                <w:sz w:val="20"/>
              </w:rPr>
            </w:pPr>
          </w:p>
        </w:tc>
        <w:tc>
          <w:tcPr>
            <w:tcW w:w="1854" w:type="dxa"/>
          </w:tcPr>
          <w:p w:rsidR="00420CB4" w:rsidRDefault="00420CB4">
            <w:pPr>
              <w:pStyle w:val="TableParagraph"/>
              <w:rPr>
                <w:rFonts w:ascii="Times New Roman"/>
                <w:sz w:val="20"/>
              </w:rPr>
            </w:pPr>
          </w:p>
        </w:tc>
        <w:tc>
          <w:tcPr>
            <w:tcW w:w="1854" w:type="dxa"/>
          </w:tcPr>
          <w:p w:rsidR="00420CB4" w:rsidRDefault="00420CB4">
            <w:pPr>
              <w:pStyle w:val="TableParagraph"/>
              <w:rPr>
                <w:rFonts w:ascii="Times New Roman"/>
                <w:sz w:val="20"/>
              </w:rPr>
            </w:pPr>
          </w:p>
        </w:tc>
      </w:tr>
    </w:tbl>
    <w:p w:rsidR="00000000" w:rsidRDefault="0063794D"/>
    <w:sectPr w:rsidR="00000000">
      <w:pgSz w:w="12240" w:h="15840"/>
      <w:pgMar w:top="1360" w:right="1220" w:bottom="1520" w:left="1140" w:header="0" w:footer="1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3794D">
      <w:r>
        <w:separator/>
      </w:r>
    </w:p>
  </w:endnote>
  <w:endnote w:type="continuationSeparator" w:id="0">
    <w:p w:rsidR="00000000" w:rsidRDefault="0063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CB4" w:rsidRDefault="0063794D">
    <w:pPr>
      <w:pStyle w:val="BodyText"/>
      <w:spacing w:line="14" w:lineRule="auto"/>
      <w:rPr>
        <w:sz w:val="20"/>
        <w:u w:val="none"/>
      </w:rPr>
    </w:pPr>
    <w:r>
      <w:rPr>
        <w:noProof/>
      </w:rPr>
      <mc:AlternateContent>
        <mc:Choice Requires="wpg">
          <w:drawing>
            <wp:anchor distT="0" distB="0" distL="114300" distR="114300" simplePos="0" relativeHeight="503310536" behindDoc="1" locked="0" layoutInCell="1" allowOverlap="1">
              <wp:simplePos x="0" y="0"/>
              <wp:positionH relativeFrom="page">
                <wp:posOffset>895350</wp:posOffset>
              </wp:positionH>
              <wp:positionV relativeFrom="page">
                <wp:posOffset>9030970</wp:posOffset>
              </wp:positionV>
              <wp:extent cx="5981700" cy="56515"/>
              <wp:effectExtent l="19050" t="1270" r="190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4222"/>
                        <a:chExt cx="9420" cy="89"/>
                      </a:xfrm>
                    </wpg:grpSpPr>
                    <wps:wsp>
                      <wps:cNvPr id="5" name="Line 6"/>
                      <wps:cNvCnPr>
                        <a:cxnSpLocks noChangeShapeType="1"/>
                      </wps:cNvCnPr>
                      <wps:spPr bwMode="auto">
                        <a:xfrm>
                          <a:off x="1410" y="14252"/>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10" y="14304"/>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ACA9BA" id="Group 4" o:spid="_x0000_s1026" style="position:absolute;margin-left:70.5pt;margin-top:711.1pt;width:471pt;height:4.45pt;z-index:-5944;mso-position-horizontal-relative:page;mso-position-vertical-relative:page" coordorigin="1410,14222"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">
              <v:line id="Line 6" o:spid="_x0000_s1027" style="position:absolute;visibility:visible;mso-wrap-style:square" from="1410,14252" to="10830,1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" strokecolor="#622423" strokeweight="3pt"/>
              <v:line id="Line 5" o:spid="_x0000_s1028" style="position:absolute;visibility:visible;mso-wrap-style:square" from="1410,14304" to="10830,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" strokecolor="#622423" strokeweight=".72pt"/>
              <w10:wrap anchorx="page" anchory="page"/>
            </v:group>
          </w:pict>
        </mc:Fallback>
      </mc:AlternateContent>
    </w:r>
    <w:r>
      <w:rPr>
        <w:noProof/>
      </w:rPr>
      <mc:AlternateContent>
        <mc:Choice Requires="wps">
          <w:drawing>
            <wp:anchor distT="0" distB="0" distL="114300" distR="114300" simplePos="0" relativeHeight="503310560" behindDoc="1" locked="0" layoutInCell="1" allowOverlap="1">
              <wp:simplePos x="0" y="0"/>
              <wp:positionH relativeFrom="page">
                <wp:posOffset>901700</wp:posOffset>
              </wp:positionH>
              <wp:positionV relativeFrom="page">
                <wp:posOffset>9091295</wp:posOffset>
              </wp:positionV>
              <wp:extent cx="5982335" cy="347980"/>
              <wp:effectExtent l="0"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B4" w:rsidRDefault="0063794D">
                          <w:pPr>
                            <w:spacing w:before="14"/>
                            <w:ind w:left="20"/>
                            <w:rPr>
                              <w:rFonts w:ascii="Arial"/>
                              <w:i/>
                              <w:sz w:val="20"/>
                            </w:rPr>
                          </w:pPr>
                          <w:r>
                            <w:rPr>
                              <w:rFonts w:ascii="Arial"/>
                              <w:i/>
                              <w:sz w:val="20"/>
                            </w:rPr>
                            <w:t>Printed Copies of this policy are uncontrolled documents. Refer to the PPHS Policy Management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15.85pt;width:471.05pt;height:27.4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5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" filled="f" stroked="f">
              <v:textbox inset="0,0,0,0">
                <w:txbxContent>
                  <w:p w:rsidR="00420CB4" w:rsidRDefault="0063794D">
                    <w:pPr>
                      <w:spacing w:before="14"/>
                      <w:ind w:left="20"/>
                      <w:rPr>
                        <w:rFonts w:ascii="Arial"/>
                        <w:i/>
                        <w:sz w:val="20"/>
                      </w:rPr>
                    </w:pPr>
                    <w:r>
                      <w:rPr>
                        <w:rFonts w:ascii="Arial"/>
                        <w:i/>
                        <w:sz w:val="20"/>
                      </w:rPr>
                      <w:t>Printed Copies of this policy are uncontrolled documents. Refer to the PPHS Policy Management System</w:t>
                    </w:r>
                  </w:p>
                </w:txbxContent>
              </v:textbox>
              <w10:wrap anchorx="page" anchory="page"/>
            </v:shape>
          </w:pict>
        </mc:Fallback>
      </mc:AlternateContent>
    </w:r>
    <w:r>
      <w:rPr>
        <w:noProof/>
      </w:rPr>
      <mc:AlternateContent>
        <mc:Choice Requires="wps">
          <w:drawing>
            <wp:anchor distT="0" distB="0" distL="114300" distR="114300" simplePos="0" relativeHeight="503310584" behindDoc="1" locked="0" layoutInCell="1" allowOverlap="1">
              <wp:simplePos x="0" y="0"/>
              <wp:positionH relativeFrom="page">
                <wp:posOffset>6417310</wp:posOffset>
              </wp:positionH>
              <wp:positionV relativeFrom="page">
                <wp:posOffset>9234805</wp:posOffset>
              </wp:positionV>
              <wp:extent cx="467360" cy="20447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B4" w:rsidRDefault="0063794D">
                          <w:pPr>
                            <w:pStyle w:val="BodyText"/>
                            <w:spacing w:before="24"/>
                            <w:ind w:left="20"/>
                            <w:rPr>
                              <w:rFonts w:ascii="Times New Roman"/>
                              <w:u w:val="none"/>
                            </w:rPr>
                          </w:pPr>
                          <w:r>
                            <w:rPr>
                              <w:rFonts w:ascii="Times New Roman"/>
                              <w:w w:val="110"/>
                              <w:u w:val="none"/>
                            </w:rPr>
                            <w:t xml:space="preserve">Page </w:t>
                          </w:r>
                          <w:r>
                            <w:fldChar w:fldCharType="begin"/>
                          </w:r>
                          <w:r>
                            <w:rPr>
                              <w:rFonts w:ascii="Times New Roman"/>
                              <w:w w:val="110"/>
                              <w:u w:val="none"/>
                            </w:rPr>
                            <w:instrText xml:space="preserve"> PAGE </w:instrText>
                          </w:r>
                          <w:r>
                            <w:fldChar w:fldCharType="separate"/>
                          </w:r>
                          <w:r>
                            <w:rPr>
                              <w:rFonts w:ascii="Times New Roman"/>
                              <w:noProof/>
                              <w:w w:val="110"/>
                              <w:u w:val="none"/>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5.3pt;margin-top:727.15pt;width:36.8pt;height:16.1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1isQIAAK8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" filled="f" stroked="f">
              <v:textbox inset="0,0,0,0">
                <w:txbxContent>
                  <w:p w:rsidR="00420CB4" w:rsidRDefault="0063794D">
                    <w:pPr>
                      <w:pStyle w:val="BodyText"/>
                      <w:spacing w:before="24"/>
                      <w:ind w:left="20"/>
                      <w:rPr>
                        <w:rFonts w:ascii="Times New Roman"/>
                        <w:u w:val="none"/>
                      </w:rPr>
                    </w:pPr>
                    <w:r>
                      <w:rPr>
                        <w:rFonts w:ascii="Times New Roman"/>
                        <w:w w:val="110"/>
                        <w:u w:val="none"/>
                      </w:rPr>
                      <w:t xml:space="preserve">Page </w:t>
                    </w:r>
                    <w:r>
                      <w:fldChar w:fldCharType="begin"/>
                    </w:r>
                    <w:r>
                      <w:rPr>
                        <w:rFonts w:ascii="Times New Roman"/>
                        <w:w w:val="110"/>
                        <w:u w:val="none"/>
                      </w:rPr>
                      <w:instrText xml:space="preserve"> PAGE </w:instrText>
                    </w:r>
                    <w:r>
                      <w:fldChar w:fldCharType="separate"/>
                    </w:r>
                    <w:r>
                      <w:rPr>
                        <w:rFonts w:ascii="Times New Roman"/>
                        <w:noProof/>
                        <w:w w:val="110"/>
                        <w:u w:val="none"/>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608" behindDoc="1" locked="0" layoutInCell="1" allowOverlap="1">
              <wp:simplePos x="0" y="0"/>
              <wp:positionH relativeFrom="page">
                <wp:posOffset>901700</wp:posOffset>
              </wp:positionH>
              <wp:positionV relativeFrom="page">
                <wp:posOffset>9264650</wp:posOffset>
              </wp:positionV>
              <wp:extent cx="120459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B4" w:rsidRDefault="0063794D">
                          <w:pPr>
                            <w:spacing w:before="14"/>
                            <w:ind w:left="20"/>
                            <w:rPr>
                              <w:rFonts w:ascii="Arial"/>
                              <w:sz w:val="20"/>
                            </w:rPr>
                          </w:pPr>
                          <w:r>
                            <w:rPr>
                              <w:rFonts w:ascii="Arial"/>
                              <w:i/>
                              <w:sz w:val="20"/>
                            </w:rPr>
                            <w:t>for the latest version</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29.5pt;width:94.85pt;height:13.2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" filled="f" stroked="f">
              <v:textbox inset="0,0,0,0">
                <w:txbxContent>
                  <w:p w:rsidR="00420CB4" w:rsidRDefault="0063794D">
                    <w:pPr>
                      <w:spacing w:before="14"/>
                      <w:ind w:left="20"/>
                      <w:rPr>
                        <w:rFonts w:ascii="Arial"/>
                        <w:sz w:val="20"/>
                      </w:rPr>
                    </w:pPr>
                    <w:r>
                      <w:rPr>
                        <w:rFonts w:ascii="Arial"/>
                        <w:i/>
                        <w:sz w:val="20"/>
                      </w:rPr>
                      <w:t>for the latest version</w:t>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3794D">
      <w:r>
        <w:separator/>
      </w:r>
    </w:p>
  </w:footnote>
  <w:footnote w:type="continuationSeparator" w:id="0">
    <w:p w:rsidR="00000000" w:rsidRDefault="00637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4B04"/>
    <w:multiLevelType w:val="hybridMultilevel"/>
    <w:tmpl w:val="5F92E476"/>
    <w:lvl w:ilvl="0" w:tplc="4948D97C">
      <w:start w:val="1"/>
      <w:numFmt w:val="upperRoman"/>
      <w:lvlText w:val="%1."/>
      <w:lvlJc w:val="left"/>
      <w:pPr>
        <w:ind w:left="3631" w:hanging="720"/>
        <w:jc w:val="right"/>
      </w:pPr>
      <w:rPr>
        <w:rFonts w:hint="default"/>
        <w:b/>
        <w:bCs/>
        <w:w w:val="99"/>
      </w:rPr>
    </w:lvl>
    <w:lvl w:ilvl="1" w:tplc="0A3C2436">
      <w:numFmt w:val="bullet"/>
      <w:lvlText w:val="•"/>
      <w:lvlJc w:val="left"/>
      <w:pPr>
        <w:ind w:left="4264" w:hanging="720"/>
      </w:pPr>
      <w:rPr>
        <w:rFonts w:hint="default"/>
      </w:rPr>
    </w:lvl>
    <w:lvl w:ilvl="2" w:tplc="A9801F9A">
      <w:numFmt w:val="bullet"/>
      <w:lvlText w:val="•"/>
      <w:lvlJc w:val="left"/>
      <w:pPr>
        <w:ind w:left="4888" w:hanging="720"/>
      </w:pPr>
      <w:rPr>
        <w:rFonts w:hint="default"/>
      </w:rPr>
    </w:lvl>
    <w:lvl w:ilvl="3" w:tplc="A886C4F2">
      <w:numFmt w:val="bullet"/>
      <w:lvlText w:val="•"/>
      <w:lvlJc w:val="left"/>
      <w:pPr>
        <w:ind w:left="5512" w:hanging="720"/>
      </w:pPr>
      <w:rPr>
        <w:rFonts w:hint="default"/>
      </w:rPr>
    </w:lvl>
    <w:lvl w:ilvl="4" w:tplc="284EB2E2">
      <w:numFmt w:val="bullet"/>
      <w:lvlText w:val="•"/>
      <w:lvlJc w:val="left"/>
      <w:pPr>
        <w:ind w:left="6136" w:hanging="720"/>
      </w:pPr>
      <w:rPr>
        <w:rFonts w:hint="default"/>
      </w:rPr>
    </w:lvl>
    <w:lvl w:ilvl="5" w:tplc="401CF4A4">
      <w:numFmt w:val="bullet"/>
      <w:lvlText w:val="•"/>
      <w:lvlJc w:val="left"/>
      <w:pPr>
        <w:ind w:left="6760" w:hanging="720"/>
      </w:pPr>
      <w:rPr>
        <w:rFonts w:hint="default"/>
      </w:rPr>
    </w:lvl>
    <w:lvl w:ilvl="6" w:tplc="DA988086">
      <w:numFmt w:val="bullet"/>
      <w:lvlText w:val="•"/>
      <w:lvlJc w:val="left"/>
      <w:pPr>
        <w:ind w:left="7384" w:hanging="720"/>
      </w:pPr>
      <w:rPr>
        <w:rFonts w:hint="default"/>
      </w:rPr>
    </w:lvl>
    <w:lvl w:ilvl="7" w:tplc="09008BD6">
      <w:numFmt w:val="bullet"/>
      <w:lvlText w:val="•"/>
      <w:lvlJc w:val="left"/>
      <w:pPr>
        <w:ind w:left="8008" w:hanging="720"/>
      </w:pPr>
      <w:rPr>
        <w:rFonts w:hint="default"/>
      </w:rPr>
    </w:lvl>
    <w:lvl w:ilvl="8" w:tplc="0CA2DF8A">
      <w:numFmt w:val="bullet"/>
      <w:lvlText w:val="•"/>
      <w:lvlJc w:val="left"/>
      <w:pPr>
        <w:ind w:left="8632" w:hanging="720"/>
      </w:pPr>
      <w:rPr>
        <w:rFonts w:hint="default"/>
      </w:rPr>
    </w:lvl>
  </w:abstractNum>
  <w:abstractNum w:abstractNumId="1" w15:restartNumberingAfterBreak="0">
    <w:nsid w:val="660474DF"/>
    <w:multiLevelType w:val="hybridMultilevel"/>
    <w:tmpl w:val="A43C40E2"/>
    <w:lvl w:ilvl="0" w:tplc="9A0896BA">
      <w:start w:val="1"/>
      <w:numFmt w:val="upperLetter"/>
      <w:lvlText w:val="%1."/>
      <w:lvlJc w:val="left"/>
      <w:pPr>
        <w:ind w:left="1739" w:hanging="720"/>
        <w:jc w:val="left"/>
      </w:pPr>
      <w:rPr>
        <w:rFonts w:hint="default"/>
        <w:spacing w:val="-1"/>
        <w:w w:val="100"/>
      </w:rPr>
    </w:lvl>
    <w:lvl w:ilvl="1" w:tplc="02C6DDA4">
      <w:start w:val="1"/>
      <w:numFmt w:val="upperLetter"/>
      <w:lvlText w:val="%2."/>
      <w:lvlJc w:val="left"/>
      <w:pPr>
        <w:ind w:left="1470" w:hanging="361"/>
        <w:jc w:val="left"/>
      </w:pPr>
      <w:rPr>
        <w:rFonts w:ascii="Liberation Sans Narrow" w:eastAsia="Liberation Sans Narrow" w:hAnsi="Liberation Sans Narrow" w:cs="Liberation Sans Narrow" w:hint="default"/>
        <w:spacing w:val="-1"/>
        <w:w w:val="99"/>
        <w:sz w:val="22"/>
        <w:szCs w:val="22"/>
      </w:rPr>
    </w:lvl>
    <w:lvl w:ilvl="2" w:tplc="8FEA7E26">
      <w:start w:val="1"/>
      <w:numFmt w:val="decimal"/>
      <w:lvlText w:val="%3."/>
      <w:lvlJc w:val="left"/>
      <w:pPr>
        <w:ind w:left="1470" w:hanging="361"/>
        <w:jc w:val="left"/>
      </w:pPr>
      <w:rPr>
        <w:rFonts w:ascii="Liberation Sans Narrow" w:eastAsia="Liberation Sans Narrow" w:hAnsi="Liberation Sans Narrow" w:cs="Liberation Sans Narrow" w:hint="default"/>
        <w:spacing w:val="-1"/>
        <w:w w:val="99"/>
        <w:sz w:val="22"/>
        <w:szCs w:val="22"/>
      </w:rPr>
    </w:lvl>
    <w:lvl w:ilvl="3" w:tplc="FE408F08">
      <w:numFmt w:val="bullet"/>
      <w:lvlText w:val="•"/>
      <w:lvlJc w:val="left"/>
      <w:pPr>
        <w:ind w:left="3548" w:hanging="361"/>
      </w:pPr>
      <w:rPr>
        <w:rFonts w:hint="default"/>
      </w:rPr>
    </w:lvl>
    <w:lvl w:ilvl="4" w:tplc="9AE4B044">
      <w:numFmt w:val="bullet"/>
      <w:lvlText w:val="•"/>
      <w:lvlJc w:val="left"/>
      <w:pPr>
        <w:ind w:left="4453" w:hanging="361"/>
      </w:pPr>
      <w:rPr>
        <w:rFonts w:hint="default"/>
      </w:rPr>
    </w:lvl>
    <w:lvl w:ilvl="5" w:tplc="8E90C1A4">
      <w:numFmt w:val="bullet"/>
      <w:lvlText w:val="•"/>
      <w:lvlJc w:val="left"/>
      <w:pPr>
        <w:ind w:left="5357" w:hanging="361"/>
      </w:pPr>
      <w:rPr>
        <w:rFonts w:hint="default"/>
      </w:rPr>
    </w:lvl>
    <w:lvl w:ilvl="6" w:tplc="5986F76E">
      <w:numFmt w:val="bullet"/>
      <w:lvlText w:val="•"/>
      <w:lvlJc w:val="left"/>
      <w:pPr>
        <w:ind w:left="6262" w:hanging="361"/>
      </w:pPr>
      <w:rPr>
        <w:rFonts w:hint="default"/>
      </w:rPr>
    </w:lvl>
    <w:lvl w:ilvl="7" w:tplc="F412006E">
      <w:numFmt w:val="bullet"/>
      <w:lvlText w:val="•"/>
      <w:lvlJc w:val="left"/>
      <w:pPr>
        <w:ind w:left="7166" w:hanging="361"/>
      </w:pPr>
      <w:rPr>
        <w:rFonts w:hint="default"/>
      </w:rPr>
    </w:lvl>
    <w:lvl w:ilvl="8" w:tplc="B874BC66">
      <w:numFmt w:val="bullet"/>
      <w:lvlText w:val="•"/>
      <w:lvlJc w:val="left"/>
      <w:pPr>
        <w:ind w:left="8071" w:hanging="361"/>
      </w:pPr>
      <w:rPr>
        <w:rFonts w:hint="default"/>
      </w:rPr>
    </w:lvl>
  </w:abstractNum>
  <w:abstractNum w:abstractNumId="2" w15:restartNumberingAfterBreak="0">
    <w:nsid w:val="7C675DE1"/>
    <w:multiLevelType w:val="hybridMultilevel"/>
    <w:tmpl w:val="AC62C696"/>
    <w:lvl w:ilvl="0" w:tplc="23E2DB74">
      <w:start w:val="1"/>
      <w:numFmt w:val="decimal"/>
      <w:lvlText w:val="%1."/>
      <w:lvlJc w:val="left"/>
      <w:pPr>
        <w:ind w:left="1380" w:hanging="411"/>
        <w:jc w:val="left"/>
      </w:pPr>
      <w:rPr>
        <w:rFonts w:ascii="Liberation Sans Narrow" w:eastAsia="Liberation Sans Narrow" w:hAnsi="Liberation Sans Narrow" w:cs="Liberation Sans Narrow" w:hint="default"/>
        <w:spacing w:val="-1"/>
        <w:w w:val="99"/>
        <w:sz w:val="22"/>
        <w:szCs w:val="22"/>
      </w:rPr>
    </w:lvl>
    <w:lvl w:ilvl="1" w:tplc="9D788806">
      <w:numFmt w:val="bullet"/>
      <w:lvlText w:val="•"/>
      <w:lvlJc w:val="left"/>
      <w:pPr>
        <w:ind w:left="2230" w:hanging="411"/>
      </w:pPr>
      <w:rPr>
        <w:rFonts w:hint="default"/>
      </w:rPr>
    </w:lvl>
    <w:lvl w:ilvl="2" w:tplc="B51A451A">
      <w:numFmt w:val="bullet"/>
      <w:lvlText w:val="•"/>
      <w:lvlJc w:val="left"/>
      <w:pPr>
        <w:ind w:left="3080" w:hanging="411"/>
      </w:pPr>
      <w:rPr>
        <w:rFonts w:hint="default"/>
      </w:rPr>
    </w:lvl>
    <w:lvl w:ilvl="3" w:tplc="70E8D6DA">
      <w:numFmt w:val="bullet"/>
      <w:lvlText w:val="•"/>
      <w:lvlJc w:val="left"/>
      <w:pPr>
        <w:ind w:left="3930" w:hanging="411"/>
      </w:pPr>
      <w:rPr>
        <w:rFonts w:hint="default"/>
      </w:rPr>
    </w:lvl>
    <w:lvl w:ilvl="4" w:tplc="01600C50">
      <w:numFmt w:val="bullet"/>
      <w:lvlText w:val="•"/>
      <w:lvlJc w:val="left"/>
      <w:pPr>
        <w:ind w:left="4780" w:hanging="411"/>
      </w:pPr>
      <w:rPr>
        <w:rFonts w:hint="default"/>
      </w:rPr>
    </w:lvl>
    <w:lvl w:ilvl="5" w:tplc="CF9C401A">
      <w:numFmt w:val="bullet"/>
      <w:lvlText w:val="•"/>
      <w:lvlJc w:val="left"/>
      <w:pPr>
        <w:ind w:left="5630" w:hanging="411"/>
      </w:pPr>
      <w:rPr>
        <w:rFonts w:hint="default"/>
      </w:rPr>
    </w:lvl>
    <w:lvl w:ilvl="6" w:tplc="9F7A9166">
      <w:numFmt w:val="bullet"/>
      <w:lvlText w:val="•"/>
      <w:lvlJc w:val="left"/>
      <w:pPr>
        <w:ind w:left="6480" w:hanging="411"/>
      </w:pPr>
      <w:rPr>
        <w:rFonts w:hint="default"/>
      </w:rPr>
    </w:lvl>
    <w:lvl w:ilvl="7" w:tplc="71ECDC9E">
      <w:numFmt w:val="bullet"/>
      <w:lvlText w:val="•"/>
      <w:lvlJc w:val="left"/>
      <w:pPr>
        <w:ind w:left="7330" w:hanging="411"/>
      </w:pPr>
      <w:rPr>
        <w:rFonts w:hint="default"/>
      </w:rPr>
    </w:lvl>
    <w:lvl w:ilvl="8" w:tplc="42F08354">
      <w:numFmt w:val="bullet"/>
      <w:lvlText w:val="•"/>
      <w:lvlJc w:val="left"/>
      <w:pPr>
        <w:ind w:left="8180" w:hanging="41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B4"/>
    <w:rsid w:val="00420CB4"/>
    <w:rsid w:val="0063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C1B0C0AC-CF7B-4D32-8AA0-64C8352C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spacing w:before="1"/>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147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IRB Policy Regarding Research Involving Children - APPROVED BY IRB and PPMH BOARD 05.06.2015</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IRB Policy Regarding Research Involving Children - APPROVED BY IRB and PPMH BOARD 05.06.2015</dc:title>
  <dc:creator>FLEWIS</dc:creator>
  <cp:lastModifiedBy>Reilly Moss</cp:lastModifiedBy>
  <cp:revision>2</cp:revision>
  <dcterms:created xsi:type="dcterms:W3CDTF">2019-07-08T19:00:00Z</dcterms:created>
  <dcterms:modified xsi:type="dcterms:W3CDTF">2019-07-08T19:00:00Z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2015-05-06T00:00:00Z</vt:filetime>
  </property>
  <property fmtid="{D5CDD505-2E9C-101B-9397-08002B2CF9AE}" pid="3" name="Creator">
    <vt:lpwstr>PScript5.dll Version 5.2.2</vt:lpwstr>
  </property>
  <property fmtid="{D5CDD505-2E9C-101B-9397-08002B2CF9AE}" pid="4" name="LastSaved">
    <vt:filetime>2019-07-08T00:00:00Z</vt:filetime>
  </property>
</Properties>
</file>